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D1" w:rsidRPr="00C21D22" w:rsidRDefault="00AD77D1" w:rsidP="00AD77D1">
      <w:pPr>
        <w:jc w:val="center"/>
        <w:rPr>
          <w:b/>
          <w:smallCaps/>
          <w:sz w:val="28"/>
          <w:szCs w:val="28"/>
        </w:rPr>
      </w:pPr>
      <w:r w:rsidRPr="00C21D22">
        <w:rPr>
          <w:b/>
          <w:smallCaps/>
          <w:sz w:val="28"/>
          <w:szCs w:val="28"/>
        </w:rPr>
        <w:t>Les critères fixant l’Etat de Droit retenu</w:t>
      </w:r>
      <w:r w:rsidR="003F2796" w:rsidRPr="00C21D22">
        <w:rPr>
          <w:b/>
          <w:smallCaps/>
          <w:sz w:val="28"/>
          <w:szCs w:val="28"/>
        </w:rPr>
        <w:t>s</w:t>
      </w:r>
      <w:r w:rsidRPr="00C21D22">
        <w:rPr>
          <w:b/>
          <w:smallCaps/>
          <w:sz w:val="28"/>
          <w:szCs w:val="28"/>
        </w:rPr>
        <w:t xml:space="preserve"> par </w:t>
      </w:r>
      <w:r w:rsidR="00C30B0A" w:rsidRPr="00C21D22">
        <w:rPr>
          <w:b/>
          <w:smallCaps/>
          <w:sz w:val="28"/>
          <w:szCs w:val="28"/>
        </w:rPr>
        <w:t>la C</w:t>
      </w:r>
      <w:r w:rsidRPr="00C21D22">
        <w:rPr>
          <w:b/>
          <w:smallCaps/>
          <w:sz w:val="28"/>
          <w:szCs w:val="28"/>
        </w:rPr>
        <w:t>ommission de Venise</w:t>
      </w:r>
      <w:r w:rsidR="003F2796" w:rsidRPr="00C21D22">
        <w:rPr>
          <w:b/>
          <w:smallCaps/>
          <w:sz w:val="28"/>
          <w:szCs w:val="28"/>
        </w:rPr>
        <w:t xml:space="preserve"> </w:t>
      </w:r>
      <w:r w:rsidRPr="00C21D22">
        <w:rPr>
          <w:b/>
          <w:smallCaps/>
          <w:sz w:val="28"/>
          <w:szCs w:val="28"/>
        </w:rPr>
        <w:t>:</w:t>
      </w:r>
    </w:p>
    <w:p w:rsidR="00610AC3" w:rsidRPr="00C21D22" w:rsidRDefault="00AD77D1" w:rsidP="00AD77D1">
      <w:pPr>
        <w:jc w:val="center"/>
        <w:rPr>
          <w:b/>
          <w:smallCaps/>
          <w:sz w:val="28"/>
          <w:szCs w:val="28"/>
        </w:rPr>
      </w:pPr>
      <w:r w:rsidRPr="00C21D22">
        <w:rPr>
          <w:b/>
          <w:smallCaps/>
          <w:sz w:val="28"/>
          <w:szCs w:val="28"/>
        </w:rPr>
        <w:t>la Belgique est dans le collimateur !</w:t>
      </w:r>
    </w:p>
    <w:p w:rsidR="003F2796" w:rsidRDefault="003F2796" w:rsidP="00FC5D30">
      <w:pPr>
        <w:spacing w:line="240" w:lineRule="auto"/>
        <w:jc w:val="both"/>
        <w:rPr>
          <w:rStyle w:val="Accentuation"/>
          <w:i w:val="0"/>
          <w:iCs w:val="0"/>
          <w:sz w:val="24"/>
          <w:szCs w:val="24"/>
        </w:rPr>
      </w:pPr>
    </w:p>
    <w:p w:rsidR="00F85FE1" w:rsidRPr="00F85FE1" w:rsidRDefault="00F85FE1" w:rsidP="00F85FE1">
      <w:pPr>
        <w:spacing w:line="240" w:lineRule="auto"/>
        <w:jc w:val="right"/>
        <w:rPr>
          <w:rStyle w:val="Accentuation"/>
          <w:i w:val="0"/>
          <w:iCs w:val="0"/>
          <w:smallCaps/>
          <w:sz w:val="24"/>
          <w:szCs w:val="24"/>
        </w:rPr>
      </w:pPr>
      <w:r w:rsidRPr="00F85FE1">
        <w:rPr>
          <w:rStyle w:val="Accentuation"/>
          <w:i w:val="0"/>
          <w:iCs w:val="0"/>
          <w:smallCaps/>
          <w:sz w:val="24"/>
          <w:szCs w:val="24"/>
        </w:rPr>
        <w:t>Olivier Moreno</w:t>
      </w:r>
    </w:p>
    <w:p w:rsidR="00F85FE1" w:rsidRPr="00F85FE1" w:rsidRDefault="00F85FE1" w:rsidP="00F85FE1">
      <w:pPr>
        <w:spacing w:line="240" w:lineRule="auto"/>
        <w:jc w:val="right"/>
        <w:rPr>
          <w:rStyle w:val="Accentuation"/>
          <w:iCs w:val="0"/>
          <w:sz w:val="24"/>
          <w:szCs w:val="24"/>
        </w:rPr>
      </w:pPr>
      <w:r w:rsidRPr="00F85FE1">
        <w:rPr>
          <w:rStyle w:val="Accentuation"/>
          <w:iCs w:val="0"/>
          <w:sz w:val="24"/>
          <w:szCs w:val="24"/>
        </w:rPr>
        <w:t>Juge au Tribunal du travail francophone de Bruxelles</w:t>
      </w:r>
    </w:p>
    <w:p w:rsidR="00F85FE1" w:rsidRPr="00773750" w:rsidRDefault="00F85FE1" w:rsidP="00793C32">
      <w:pPr>
        <w:spacing w:line="240" w:lineRule="auto"/>
        <w:jc w:val="both"/>
        <w:rPr>
          <w:rStyle w:val="Accentuation"/>
          <w:i w:val="0"/>
          <w:iCs w:val="0"/>
          <w:sz w:val="24"/>
          <w:szCs w:val="24"/>
        </w:rPr>
      </w:pPr>
    </w:p>
    <w:p w:rsidR="009E40AA" w:rsidRPr="00773750" w:rsidRDefault="009E40AA" w:rsidP="009E40AA">
      <w:pPr>
        <w:jc w:val="both"/>
        <w:rPr>
          <w:sz w:val="24"/>
          <w:szCs w:val="24"/>
        </w:rPr>
      </w:pPr>
      <w:r w:rsidRPr="00773750">
        <w:rPr>
          <w:sz w:val="24"/>
          <w:szCs w:val="24"/>
        </w:rPr>
        <w:t>Comme le soulignent le Préambule et l’article 2 du Traité sur l’Union européenne, l’Etat de droit est une des valeurs fondatrices communes aux Etats membres et à l’Union européenne.</w:t>
      </w:r>
    </w:p>
    <w:p w:rsidR="00C273C2" w:rsidRPr="00773750" w:rsidRDefault="009E40AA" w:rsidP="009E40AA">
      <w:pPr>
        <w:jc w:val="both"/>
        <w:rPr>
          <w:rStyle w:val="Accentuation"/>
          <w:i w:val="0"/>
          <w:iCs w:val="0"/>
          <w:sz w:val="24"/>
          <w:szCs w:val="24"/>
        </w:rPr>
      </w:pPr>
      <w:r w:rsidRPr="00773750">
        <w:rPr>
          <w:sz w:val="24"/>
          <w:szCs w:val="24"/>
        </w:rPr>
        <w:t>C’est sur base de ce socle commun qu’a vu le jour l</w:t>
      </w:r>
      <w:r w:rsidR="003F2796" w:rsidRPr="00773750">
        <w:rPr>
          <w:rStyle w:val="Accentuation"/>
          <w:i w:val="0"/>
          <w:iCs w:val="0"/>
          <w:sz w:val="24"/>
          <w:szCs w:val="24"/>
        </w:rPr>
        <w:t xml:space="preserve">a </w:t>
      </w:r>
      <w:r w:rsidR="00362B41" w:rsidRPr="00773750">
        <w:rPr>
          <w:rStyle w:val="Accentuation"/>
          <w:i w:val="0"/>
          <w:iCs w:val="0"/>
          <w:sz w:val="24"/>
          <w:szCs w:val="24"/>
        </w:rPr>
        <w:t>« </w:t>
      </w:r>
      <w:r w:rsidR="003F2796" w:rsidRPr="00773750">
        <w:rPr>
          <w:rStyle w:val="Accentuation"/>
          <w:i w:val="0"/>
          <w:iCs w:val="0"/>
          <w:sz w:val="24"/>
          <w:szCs w:val="24"/>
        </w:rPr>
        <w:t>Commission européenne pour la démocratie par le droit</w:t>
      </w:r>
      <w:r w:rsidR="00362B41" w:rsidRPr="00773750">
        <w:rPr>
          <w:rStyle w:val="Accentuation"/>
          <w:i w:val="0"/>
          <w:iCs w:val="0"/>
          <w:sz w:val="24"/>
          <w:szCs w:val="24"/>
        </w:rPr>
        <w:t> »</w:t>
      </w:r>
      <w:r w:rsidR="003F2796" w:rsidRPr="00773750">
        <w:rPr>
          <w:rStyle w:val="Accentuation"/>
          <w:i w:val="0"/>
          <w:iCs w:val="0"/>
          <w:sz w:val="24"/>
          <w:szCs w:val="24"/>
        </w:rPr>
        <w:t xml:space="preserve"> dont le siè</w:t>
      </w:r>
      <w:bookmarkStart w:id="0" w:name="_GoBack"/>
      <w:bookmarkEnd w:id="0"/>
      <w:r w:rsidR="003F2796" w:rsidRPr="00773750">
        <w:rPr>
          <w:rStyle w:val="Accentuation"/>
          <w:i w:val="0"/>
          <w:iCs w:val="0"/>
          <w:sz w:val="24"/>
          <w:szCs w:val="24"/>
        </w:rPr>
        <w:t>ge est établi à Venise (c</w:t>
      </w:r>
      <w:r w:rsidR="00362B41" w:rsidRPr="00773750">
        <w:rPr>
          <w:rStyle w:val="Accentuation"/>
          <w:i w:val="0"/>
          <w:iCs w:val="0"/>
          <w:sz w:val="24"/>
          <w:szCs w:val="24"/>
        </w:rPr>
        <w:t>i-après la Commission de Venise</w:t>
      </w:r>
      <w:r w:rsidR="008D35C1" w:rsidRPr="00773750">
        <w:rPr>
          <w:rStyle w:val="Appelnotedebasdep"/>
          <w:sz w:val="24"/>
          <w:szCs w:val="24"/>
        </w:rPr>
        <w:footnoteReference w:id="1"/>
      </w:r>
      <w:r w:rsidR="00362B41" w:rsidRPr="00773750">
        <w:rPr>
          <w:rStyle w:val="Accentuation"/>
          <w:i w:val="0"/>
          <w:iCs w:val="0"/>
          <w:sz w:val="24"/>
          <w:szCs w:val="24"/>
        </w:rPr>
        <w:t>)</w:t>
      </w:r>
      <w:r w:rsidRPr="00773750">
        <w:rPr>
          <w:rStyle w:val="Accentuation"/>
          <w:i w:val="0"/>
          <w:iCs w:val="0"/>
          <w:sz w:val="24"/>
          <w:szCs w:val="24"/>
        </w:rPr>
        <w:t xml:space="preserve">. Elle </w:t>
      </w:r>
      <w:r w:rsidR="003F2796" w:rsidRPr="00773750">
        <w:rPr>
          <w:rStyle w:val="Accentuation"/>
          <w:i w:val="0"/>
          <w:iCs w:val="0"/>
          <w:sz w:val="24"/>
          <w:szCs w:val="24"/>
        </w:rPr>
        <w:t>a notamment pour but</w:t>
      </w:r>
      <w:r w:rsidRPr="00773750">
        <w:rPr>
          <w:rStyle w:val="Accentuation"/>
          <w:i w:val="0"/>
          <w:iCs w:val="0"/>
          <w:sz w:val="24"/>
          <w:szCs w:val="24"/>
        </w:rPr>
        <w:t xml:space="preserve"> </w:t>
      </w:r>
      <w:r w:rsidR="003F2796" w:rsidRPr="00773750">
        <w:rPr>
          <w:rStyle w:val="Accentuation"/>
          <w:i w:val="0"/>
          <w:iCs w:val="0"/>
          <w:sz w:val="24"/>
          <w:szCs w:val="24"/>
        </w:rPr>
        <w:t>de promouvoir l’Etat de droit et la démocratie</w:t>
      </w:r>
      <w:r w:rsidR="00C273C2" w:rsidRPr="00773750">
        <w:rPr>
          <w:rStyle w:val="Accentuation"/>
          <w:i w:val="0"/>
          <w:iCs w:val="0"/>
          <w:sz w:val="24"/>
          <w:szCs w:val="24"/>
        </w:rPr>
        <w:t xml:space="preserve"> au sein du Conseil de l’Europe. </w:t>
      </w:r>
      <w:r w:rsidR="00362B41" w:rsidRPr="00773750">
        <w:rPr>
          <w:rStyle w:val="Accentuation"/>
          <w:i w:val="0"/>
          <w:iCs w:val="0"/>
          <w:sz w:val="24"/>
          <w:szCs w:val="24"/>
        </w:rPr>
        <w:t xml:space="preserve">Dans son rapport de mars </w:t>
      </w:r>
      <w:r w:rsidR="00C273C2" w:rsidRPr="00773750">
        <w:rPr>
          <w:rStyle w:val="Accentuation"/>
          <w:i w:val="0"/>
          <w:iCs w:val="0"/>
          <w:sz w:val="24"/>
          <w:szCs w:val="24"/>
        </w:rPr>
        <w:t xml:space="preserve">2016, la Commission de Venise a adopté une liste de critères </w:t>
      </w:r>
      <w:r w:rsidR="00977212" w:rsidRPr="00773750">
        <w:rPr>
          <w:rStyle w:val="Accentuation"/>
          <w:i w:val="0"/>
          <w:iCs w:val="0"/>
          <w:sz w:val="24"/>
          <w:szCs w:val="24"/>
        </w:rPr>
        <w:t>d’évaluation de la prééminence de</w:t>
      </w:r>
      <w:r w:rsidR="00362B41" w:rsidRPr="00773750">
        <w:rPr>
          <w:rStyle w:val="Accentuation"/>
          <w:i w:val="0"/>
          <w:iCs w:val="0"/>
          <w:sz w:val="24"/>
          <w:szCs w:val="24"/>
        </w:rPr>
        <w:t xml:space="preserve"> </w:t>
      </w:r>
      <w:r w:rsidR="00C273C2" w:rsidRPr="00773750">
        <w:rPr>
          <w:rStyle w:val="Accentuation"/>
          <w:i w:val="0"/>
          <w:iCs w:val="0"/>
          <w:sz w:val="24"/>
          <w:szCs w:val="24"/>
        </w:rPr>
        <w:t>l’Etat de droit</w:t>
      </w:r>
      <w:r w:rsidRPr="00773750">
        <w:rPr>
          <w:rStyle w:val="Accentuation"/>
          <w:i w:val="0"/>
          <w:iCs w:val="0"/>
          <w:sz w:val="24"/>
          <w:szCs w:val="24"/>
        </w:rPr>
        <w:t xml:space="preserve">, </w:t>
      </w:r>
      <w:r w:rsidR="00977212" w:rsidRPr="00773750">
        <w:rPr>
          <w:rStyle w:val="Accentuation"/>
          <w:i w:val="0"/>
          <w:iCs w:val="0"/>
          <w:sz w:val="24"/>
          <w:szCs w:val="24"/>
        </w:rPr>
        <w:t xml:space="preserve">de </w:t>
      </w:r>
      <w:proofErr w:type="spellStart"/>
      <w:r w:rsidR="00977212" w:rsidRPr="00773750">
        <w:rPr>
          <w:rStyle w:val="Accentuation"/>
          <w:iCs w:val="0"/>
          <w:sz w:val="24"/>
          <w:szCs w:val="24"/>
        </w:rPr>
        <w:t>Rule</w:t>
      </w:r>
      <w:proofErr w:type="spellEnd"/>
      <w:r w:rsidR="00977212" w:rsidRPr="00773750">
        <w:rPr>
          <w:rStyle w:val="Accentuation"/>
          <w:iCs w:val="0"/>
          <w:sz w:val="24"/>
          <w:szCs w:val="24"/>
        </w:rPr>
        <w:t xml:space="preserve"> of Law</w:t>
      </w:r>
      <w:r w:rsidRPr="00773750">
        <w:rPr>
          <w:rStyle w:val="Accentuation"/>
          <w:i w:val="0"/>
          <w:iCs w:val="0"/>
          <w:sz w:val="24"/>
          <w:szCs w:val="24"/>
        </w:rPr>
        <w:t xml:space="preserve">, de </w:t>
      </w:r>
      <w:proofErr w:type="spellStart"/>
      <w:r w:rsidRPr="00773750">
        <w:rPr>
          <w:rStyle w:val="Accentuation"/>
          <w:i w:val="0"/>
          <w:iCs w:val="0"/>
          <w:sz w:val="24"/>
          <w:szCs w:val="24"/>
        </w:rPr>
        <w:t>Rechtsstaat</w:t>
      </w:r>
      <w:proofErr w:type="spellEnd"/>
      <w:r w:rsidRPr="00773750">
        <w:rPr>
          <w:rStyle w:val="Accentuation"/>
          <w:i w:val="0"/>
          <w:iCs w:val="0"/>
          <w:sz w:val="24"/>
          <w:szCs w:val="24"/>
        </w:rPr>
        <w:t xml:space="preserve"> </w:t>
      </w:r>
      <w:r w:rsidR="008D35C1" w:rsidRPr="00773750">
        <w:rPr>
          <w:rStyle w:val="Accentuation"/>
          <w:i w:val="0"/>
          <w:iCs w:val="0"/>
          <w:sz w:val="24"/>
          <w:szCs w:val="24"/>
        </w:rPr>
        <w:t>(légalité, sécurité juridique, prévention de l’abus de pouvoir, égalité devant la loi et non-discrimination, accès à la justice).</w:t>
      </w:r>
      <w:r w:rsidR="00C273C2" w:rsidRPr="00773750">
        <w:rPr>
          <w:rStyle w:val="Accentuation"/>
          <w:i w:val="0"/>
          <w:iCs w:val="0"/>
          <w:sz w:val="24"/>
          <w:szCs w:val="24"/>
        </w:rPr>
        <w:t xml:space="preserve"> </w:t>
      </w:r>
      <w:r w:rsidR="00977212" w:rsidRPr="00773750">
        <w:rPr>
          <w:rStyle w:val="Accentuation"/>
          <w:i w:val="0"/>
          <w:iCs w:val="0"/>
          <w:sz w:val="24"/>
          <w:szCs w:val="24"/>
        </w:rPr>
        <w:t>Pour rappel, l</w:t>
      </w:r>
      <w:r w:rsidR="00977212" w:rsidRPr="00773750">
        <w:rPr>
          <w:sz w:val="24"/>
          <w:szCs w:val="24"/>
        </w:rPr>
        <w:t xml:space="preserve">a prééminence du droit est évoquée dans le préambule du statut du Conseil de l’Europe comme l’un des trois « </w:t>
      </w:r>
      <w:r w:rsidR="00977212" w:rsidRPr="00773750">
        <w:rPr>
          <w:i/>
          <w:sz w:val="24"/>
          <w:szCs w:val="24"/>
        </w:rPr>
        <w:t>principes sur lesquels se fonde toute</w:t>
      </w:r>
      <w:r w:rsidRPr="00773750">
        <w:rPr>
          <w:i/>
          <w:sz w:val="24"/>
          <w:szCs w:val="24"/>
        </w:rPr>
        <w:t xml:space="preserve"> démocratie véritable </w:t>
      </w:r>
      <w:r w:rsidRPr="00773750">
        <w:rPr>
          <w:sz w:val="24"/>
          <w:szCs w:val="24"/>
        </w:rPr>
        <w:t>», à côté de la liberté individuelle et de la liberté politique.</w:t>
      </w:r>
      <w:r w:rsidR="00977212" w:rsidRPr="00773750">
        <w:rPr>
          <w:rStyle w:val="Accentuation"/>
          <w:i w:val="0"/>
          <w:iCs w:val="0"/>
          <w:sz w:val="24"/>
          <w:szCs w:val="24"/>
        </w:rPr>
        <w:t xml:space="preserve"> </w:t>
      </w:r>
      <w:r w:rsidR="00C273C2" w:rsidRPr="00773750">
        <w:rPr>
          <w:rStyle w:val="Accentuation"/>
          <w:i w:val="0"/>
          <w:iCs w:val="0"/>
          <w:sz w:val="24"/>
          <w:szCs w:val="24"/>
        </w:rPr>
        <w:t xml:space="preserve">C’est </w:t>
      </w:r>
      <w:r w:rsidRPr="00773750">
        <w:rPr>
          <w:rStyle w:val="Accentuation"/>
          <w:i w:val="0"/>
          <w:iCs w:val="0"/>
          <w:sz w:val="24"/>
          <w:szCs w:val="24"/>
        </w:rPr>
        <w:t xml:space="preserve">donc </w:t>
      </w:r>
      <w:r w:rsidR="00C273C2" w:rsidRPr="00773750">
        <w:rPr>
          <w:rStyle w:val="Accentuation"/>
          <w:i w:val="0"/>
          <w:iCs w:val="0"/>
          <w:sz w:val="24"/>
          <w:szCs w:val="24"/>
        </w:rPr>
        <w:t xml:space="preserve">sans surprise que le </w:t>
      </w:r>
      <w:r w:rsidR="00C273C2" w:rsidRPr="00773750">
        <w:rPr>
          <w:rStyle w:val="Accentuation"/>
          <w:iCs w:val="0"/>
          <w:sz w:val="24"/>
          <w:szCs w:val="24"/>
        </w:rPr>
        <w:t>droit à un procès équitable</w:t>
      </w:r>
      <w:r w:rsidR="000449E5" w:rsidRPr="00773750">
        <w:rPr>
          <w:rStyle w:val="Accentuation"/>
          <w:i w:val="0"/>
          <w:iCs w:val="0"/>
          <w:sz w:val="24"/>
          <w:szCs w:val="24"/>
        </w:rPr>
        <w:t>,</w:t>
      </w:r>
      <w:r w:rsidR="00C273C2" w:rsidRPr="00773750">
        <w:rPr>
          <w:rStyle w:val="Accentuation"/>
          <w:i w:val="0"/>
          <w:iCs w:val="0"/>
          <w:sz w:val="24"/>
          <w:szCs w:val="24"/>
        </w:rPr>
        <w:t xml:space="preserve"> tel qu’il est défini à l’article 6 de la C</w:t>
      </w:r>
      <w:r w:rsidR="00362B41" w:rsidRPr="00773750">
        <w:rPr>
          <w:rStyle w:val="Accentuation"/>
          <w:i w:val="0"/>
          <w:iCs w:val="0"/>
          <w:sz w:val="24"/>
          <w:szCs w:val="24"/>
        </w:rPr>
        <w:t xml:space="preserve">onvention européenne des droits de l’homme, </w:t>
      </w:r>
      <w:r w:rsidR="00C273C2" w:rsidRPr="00773750">
        <w:rPr>
          <w:rStyle w:val="Accentuation"/>
          <w:i w:val="0"/>
          <w:iCs w:val="0"/>
          <w:sz w:val="24"/>
          <w:szCs w:val="24"/>
        </w:rPr>
        <w:t xml:space="preserve">est retenu parmi </w:t>
      </w:r>
      <w:r w:rsidR="008D35C1" w:rsidRPr="00773750">
        <w:rPr>
          <w:rStyle w:val="Accentuation"/>
          <w:i w:val="0"/>
          <w:iCs w:val="0"/>
          <w:sz w:val="24"/>
          <w:szCs w:val="24"/>
        </w:rPr>
        <w:t>le</w:t>
      </w:r>
      <w:r w:rsidR="00D61C64" w:rsidRPr="00773750">
        <w:rPr>
          <w:rStyle w:val="Accentuation"/>
          <w:i w:val="0"/>
          <w:iCs w:val="0"/>
          <w:sz w:val="24"/>
          <w:szCs w:val="24"/>
        </w:rPr>
        <w:t>s</w:t>
      </w:r>
      <w:r w:rsidR="008D35C1" w:rsidRPr="00773750">
        <w:rPr>
          <w:rStyle w:val="Accentuation"/>
          <w:i w:val="0"/>
          <w:iCs w:val="0"/>
          <w:sz w:val="24"/>
          <w:szCs w:val="24"/>
        </w:rPr>
        <w:t xml:space="preserve"> critère</w:t>
      </w:r>
      <w:r w:rsidR="00D61C64" w:rsidRPr="00773750">
        <w:rPr>
          <w:rStyle w:val="Accentuation"/>
          <w:i w:val="0"/>
          <w:iCs w:val="0"/>
          <w:sz w:val="24"/>
          <w:szCs w:val="24"/>
        </w:rPr>
        <w:t>s</w:t>
      </w:r>
      <w:r w:rsidR="008D35C1" w:rsidRPr="00773750">
        <w:rPr>
          <w:rStyle w:val="Accentuation"/>
          <w:i w:val="0"/>
          <w:iCs w:val="0"/>
          <w:sz w:val="24"/>
          <w:szCs w:val="24"/>
        </w:rPr>
        <w:t xml:space="preserve"> relevant de l’accès à la justice</w:t>
      </w:r>
      <w:r w:rsidR="00C273C2" w:rsidRPr="00773750">
        <w:rPr>
          <w:rStyle w:val="Accentuation"/>
          <w:i w:val="0"/>
          <w:iCs w:val="0"/>
          <w:sz w:val="24"/>
          <w:szCs w:val="24"/>
        </w:rPr>
        <w:t>. Pour renforcer l’effectivité du droit à un procès équitable, la Commission de Venise s’</w:t>
      </w:r>
      <w:r w:rsidR="00362B41" w:rsidRPr="00773750">
        <w:rPr>
          <w:rStyle w:val="Accentuation"/>
          <w:i w:val="0"/>
          <w:iCs w:val="0"/>
          <w:sz w:val="24"/>
          <w:szCs w:val="24"/>
        </w:rPr>
        <w:t xml:space="preserve">est </w:t>
      </w:r>
      <w:r w:rsidR="00C273C2" w:rsidRPr="00773750">
        <w:rPr>
          <w:rStyle w:val="Accentuation"/>
          <w:i w:val="0"/>
          <w:iCs w:val="0"/>
          <w:sz w:val="24"/>
          <w:szCs w:val="24"/>
        </w:rPr>
        <w:t>intéress</w:t>
      </w:r>
      <w:r w:rsidR="00362B41" w:rsidRPr="00773750">
        <w:rPr>
          <w:rStyle w:val="Accentuation"/>
          <w:i w:val="0"/>
          <w:iCs w:val="0"/>
          <w:sz w:val="24"/>
          <w:szCs w:val="24"/>
        </w:rPr>
        <w:t>é</w:t>
      </w:r>
      <w:r w:rsidR="00803AD0" w:rsidRPr="00773750">
        <w:rPr>
          <w:rStyle w:val="Accentuation"/>
          <w:i w:val="0"/>
          <w:iCs w:val="0"/>
          <w:sz w:val="24"/>
          <w:szCs w:val="24"/>
        </w:rPr>
        <w:t>e</w:t>
      </w:r>
      <w:r w:rsidR="00C273C2" w:rsidRPr="00773750">
        <w:rPr>
          <w:rStyle w:val="Accentuation"/>
          <w:i w:val="0"/>
          <w:iCs w:val="0"/>
          <w:sz w:val="24"/>
          <w:szCs w:val="24"/>
        </w:rPr>
        <w:t xml:space="preserve"> à </w:t>
      </w:r>
      <w:r w:rsidRPr="00773750">
        <w:rPr>
          <w:rStyle w:val="Accentuation"/>
          <w:i w:val="0"/>
          <w:iCs w:val="0"/>
          <w:sz w:val="24"/>
          <w:szCs w:val="24"/>
        </w:rPr>
        <w:t xml:space="preserve">plusieurs </w:t>
      </w:r>
      <w:r w:rsidR="00C273C2" w:rsidRPr="00773750">
        <w:rPr>
          <w:rStyle w:val="Accentuation"/>
          <w:i w:val="0"/>
          <w:iCs w:val="0"/>
          <w:sz w:val="24"/>
          <w:szCs w:val="24"/>
        </w:rPr>
        <w:t>question</w:t>
      </w:r>
      <w:r w:rsidRPr="00773750">
        <w:rPr>
          <w:rStyle w:val="Accentuation"/>
          <w:i w:val="0"/>
          <w:iCs w:val="0"/>
          <w:sz w:val="24"/>
          <w:szCs w:val="24"/>
        </w:rPr>
        <w:t xml:space="preserve">s </w:t>
      </w:r>
      <w:r w:rsidR="00793C32" w:rsidRPr="00773750">
        <w:rPr>
          <w:rStyle w:val="Accentuation"/>
          <w:i w:val="0"/>
          <w:iCs w:val="0"/>
          <w:sz w:val="24"/>
          <w:szCs w:val="24"/>
        </w:rPr>
        <w:t xml:space="preserve">d’actualité </w:t>
      </w:r>
      <w:r w:rsidR="00803AD0" w:rsidRPr="00773750">
        <w:rPr>
          <w:rStyle w:val="Accentuation"/>
          <w:i w:val="0"/>
          <w:iCs w:val="0"/>
          <w:sz w:val="24"/>
          <w:szCs w:val="24"/>
        </w:rPr>
        <w:t xml:space="preserve">en Belgique </w:t>
      </w:r>
      <w:r w:rsidR="00C273C2" w:rsidRPr="00773750">
        <w:rPr>
          <w:rStyle w:val="Accentuation"/>
          <w:i w:val="0"/>
          <w:iCs w:val="0"/>
          <w:sz w:val="24"/>
          <w:szCs w:val="24"/>
        </w:rPr>
        <w:t xml:space="preserve">: </w:t>
      </w:r>
    </w:p>
    <w:p w:rsidR="000449E5" w:rsidRPr="00773750" w:rsidRDefault="00C273C2" w:rsidP="000449E5">
      <w:pPr>
        <w:pStyle w:val="Paragraphedeliste"/>
        <w:numPr>
          <w:ilvl w:val="0"/>
          <w:numId w:val="4"/>
        </w:numPr>
        <w:spacing w:line="240" w:lineRule="auto"/>
        <w:jc w:val="both"/>
        <w:rPr>
          <w:rStyle w:val="Accentuation"/>
          <w:i w:val="0"/>
          <w:iCs w:val="0"/>
          <w:sz w:val="24"/>
          <w:szCs w:val="24"/>
        </w:rPr>
      </w:pPr>
      <w:r w:rsidRPr="00773750">
        <w:rPr>
          <w:rStyle w:val="Accentuation"/>
          <w:i w:val="0"/>
          <w:iCs w:val="0"/>
          <w:sz w:val="24"/>
          <w:szCs w:val="24"/>
        </w:rPr>
        <w:t>« </w:t>
      </w:r>
      <w:r w:rsidRPr="00773750">
        <w:rPr>
          <w:rStyle w:val="Accentuation"/>
          <w:iCs w:val="0"/>
          <w:sz w:val="24"/>
          <w:szCs w:val="24"/>
        </w:rPr>
        <w:t>les décisions de justice sont-elles suivies d’effet ? </w:t>
      </w:r>
    </w:p>
    <w:p w:rsidR="000449E5" w:rsidRPr="00773750" w:rsidRDefault="00793C32" w:rsidP="000449E5">
      <w:pPr>
        <w:pStyle w:val="Paragraphedeliste"/>
        <w:numPr>
          <w:ilvl w:val="0"/>
          <w:numId w:val="4"/>
        </w:numPr>
        <w:spacing w:line="240" w:lineRule="auto"/>
        <w:jc w:val="both"/>
        <w:rPr>
          <w:sz w:val="24"/>
          <w:szCs w:val="24"/>
        </w:rPr>
      </w:pPr>
      <w:r w:rsidRPr="00773750">
        <w:rPr>
          <w:rStyle w:val="Accentuation"/>
          <w:iCs w:val="0"/>
          <w:sz w:val="24"/>
          <w:szCs w:val="24"/>
        </w:rPr>
        <w:t>Les jugements sont-ils effectivement et promptement appliqués ?</w:t>
      </w:r>
      <w:r w:rsidRPr="00773750">
        <w:rPr>
          <w:sz w:val="24"/>
          <w:szCs w:val="24"/>
        </w:rPr>
        <w:t xml:space="preserve"> </w:t>
      </w:r>
    </w:p>
    <w:p w:rsidR="003F2796" w:rsidRPr="00773750" w:rsidRDefault="00793C32" w:rsidP="000449E5">
      <w:pPr>
        <w:pStyle w:val="Paragraphedeliste"/>
        <w:numPr>
          <w:ilvl w:val="0"/>
          <w:numId w:val="4"/>
        </w:numPr>
        <w:spacing w:line="240" w:lineRule="auto"/>
        <w:jc w:val="both"/>
        <w:rPr>
          <w:sz w:val="24"/>
          <w:szCs w:val="24"/>
        </w:rPr>
      </w:pPr>
      <w:r w:rsidRPr="00773750">
        <w:rPr>
          <w:i/>
          <w:sz w:val="24"/>
          <w:szCs w:val="24"/>
        </w:rPr>
        <w:t>Les recours pour non-</w:t>
      </w:r>
      <w:r w:rsidR="00362B41" w:rsidRPr="00773750">
        <w:rPr>
          <w:i/>
          <w:sz w:val="24"/>
          <w:szCs w:val="24"/>
        </w:rPr>
        <w:t xml:space="preserve">exécution </w:t>
      </w:r>
      <w:r w:rsidRPr="00773750">
        <w:rPr>
          <w:i/>
          <w:sz w:val="24"/>
          <w:szCs w:val="24"/>
        </w:rPr>
        <w:t>d’un jugement</w:t>
      </w:r>
      <w:r w:rsidR="00362B41" w:rsidRPr="00773750">
        <w:rPr>
          <w:i/>
          <w:sz w:val="24"/>
          <w:szCs w:val="24"/>
        </w:rPr>
        <w:t>,</w:t>
      </w:r>
      <w:r w:rsidRPr="00773750">
        <w:rPr>
          <w:i/>
          <w:sz w:val="24"/>
          <w:szCs w:val="24"/>
        </w:rPr>
        <w:t xml:space="preserve"> déposés devant une juridiction nationale et/ou la Cour e</w:t>
      </w:r>
      <w:r w:rsidR="00362B41" w:rsidRPr="00773750">
        <w:rPr>
          <w:i/>
          <w:sz w:val="24"/>
          <w:szCs w:val="24"/>
        </w:rPr>
        <w:t xml:space="preserve">uropéenne des droits de l’homme, </w:t>
      </w:r>
      <w:r w:rsidRPr="00773750">
        <w:rPr>
          <w:i/>
          <w:sz w:val="24"/>
          <w:szCs w:val="24"/>
        </w:rPr>
        <w:t>sont-ils fréquents ? </w:t>
      </w:r>
      <w:r w:rsidRPr="00773750">
        <w:rPr>
          <w:sz w:val="24"/>
          <w:szCs w:val="24"/>
        </w:rPr>
        <w:t>».</w:t>
      </w:r>
    </w:p>
    <w:p w:rsidR="00793C32" w:rsidRPr="00773750" w:rsidRDefault="00362B41" w:rsidP="00793C32">
      <w:pPr>
        <w:spacing w:line="240" w:lineRule="auto"/>
        <w:jc w:val="both"/>
        <w:rPr>
          <w:rStyle w:val="Accentuation"/>
          <w:i w:val="0"/>
          <w:iCs w:val="0"/>
          <w:sz w:val="24"/>
          <w:szCs w:val="24"/>
        </w:rPr>
      </w:pPr>
      <w:r w:rsidRPr="00773750">
        <w:rPr>
          <w:sz w:val="24"/>
          <w:szCs w:val="24"/>
        </w:rPr>
        <w:t>A ces questions, l</w:t>
      </w:r>
      <w:r w:rsidR="00793C32" w:rsidRPr="00773750">
        <w:rPr>
          <w:sz w:val="24"/>
          <w:szCs w:val="24"/>
        </w:rPr>
        <w:t xml:space="preserve">a Commission </w:t>
      </w:r>
      <w:r w:rsidR="000449E5" w:rsidRPr="00773750">
        <w:rPr>
          <w:sz w:val="24"/>
          <w:szCs w:val="24"/>
        </w:rPr>
        <w:t xml:space="preserve">de Venise </w:t>
      </w:r>
      <w:r w:rsidRPr="00773750">
        <w:rPr>
          <w:sz w:val="24"/>
          <w:szCs w:val="24"/>
        </w:rPr>
        <w:t>y a ajouté</w:t>
      </w:r>
      <w:r w:rsidR="00793C32" w:rsidRPr="00773750">
        <w:rPr>
          <w:sz w:val="24"/>
          <w:szCs w:val="24"/>
        </w:rPr>
        <w:t xml:space="preserve"> un commentaire : « </w:t>
      </w:r>
      <w:r w:rsidR="00793C32" w:rsidRPr="00773750">
        <w:rPr>
          <w:i/>
          <w:sz w:val="24"/>
          <w:szCs w:val="24"/>
        </w:rPr>
        <w:t xml:space="preserve">Les décisions de justice occupent une place centrale dans l’application de la Constitution et de la législation. Le droit à un procès équitable et plus largement l’Etat de droit perdraient toute leur substance si les décisions de justice n’étaient pas </w:t>
      </w:r>
      <w:r w:rsidR="00803AD0" w:rsidRPr="00773750">
        <w:rPr>
          <w:i/>
          <w:sz w:val="24"/>
          <w:szCs w:val="24"/>
        </w:rPr>
        <w:t>exécut</w:t>
      </w:r>
      <w:r w:rsidR="00793C32" w:rsidRPr="00773750">
        <w:rPr>
          <w:i/>
          <w:sz w:val="24"/>
          <w:szCs w:val="24"/>
        </w:rPr>
        <w:t>ées </w:t>
      </w:r>
      <w:r w:rsidR="00793C32" w:rsidRPr="00773750">
        <w:rPr>
          <w:sz w:val="24"/>
          <w:szCs w:val="24"/>
        </w:rPr>
        <w:t>».</w:t>
      </w:r>
    </w:p>
    <w:p w:rsidR="00C273C2" w:rsidRPr="00773750" w:rsidRDefault="00362B41" w:rsidP="00793C32">
      <w:pPr>
        <w:spacing w:line="240" w:lineRule="auto"/>
        <w:jc w:val="both"/>
        <w:rPr>
          <w:rStyle w:val="Accentuation"/>
          <w:i w:val="0"/>
          <w:iCs w:val="0"/>
          <w:sz w:val="24"/>
          <w:szCs w:val="24"/>
        </w:rPr>
      </w:pPr>
      <w:r w:rsidRPr="00773750">
        <w:rPr>
          <w:rStyle w:val="Accentuation"/>
          <w:i w:val="0"/>
          <w:iCs w:val="0"/>
          <w:sz w:val="24"/>
          <w:szCs w:val="24"/>
        </w:rPr>
        <w:t>Qu’en est-il en Belgique de l’exécution des décisions de justice en matière d’accueil des demandeurs d’asile ? L</w:t>
      </w:r>
      <w:r w:rsidR="003C5125" w:rsidRPr="00773750">
        <w:rPr>
          <w:rStyle w:val="Accentuation"/>
          <w:i w:val="0"/>
          <w:iCs w:val="0"/>
          <w:sz w:val="24"/>
          <w:szCs w:val="24"/>
        </w:rPr>
        <w:t xml:space="preserve">’agence </w:t>
      </w:r>
      <w:r w:rsidR="003C5125" w:rsidRPr="00773750">
        <w:rPr>
          <w:rStyle w:val="Accentuation"/>
          <w:i w:val="0"/>
          <w:iCs w:val="0"/>
          <w:caps/>
          <w:sz w:val="24"/>
          <w:szCs w:val="24"/>
        </w:rPr>
        <w:t xml:space="preserve">Fedasil </w:t>
      </w:r>
      <w:r w:rsidR="003C5125" w:rsidRPr="00773750">
        <w:rPr>
          <w:rStyle w:val="Accentuation"/>
          <w:i w:val="0"/>
          <w:iCs w:val="0"/>
          <w:sz w:val="24"/>
          <w:szCs w:val="24"/>
        </w:rPr>
        <w:t xml:space="preserve">et </w:t>
      </w:r>
      <w:r w:rsidR="00793C32" w:rsidRPr="00773750">
        <w:rPr>
          <w:rStyle w:val="Accentuation"/>
          <w:i w:val="0"/>
          <w:iCs w:val="0"/>
          <w:sz w:val="24"/>
          <w:szCs w:val="24"/>
        </w:rPr>
        <w:t>le gouvernement</w:t>
      </w:r>
      <w:r w:rsidR="003C5125" w:rsidRPr="00773750">
        <w:rPr>
          <w:rStyle w:val="Accentuation"/>
          <w:i w:val="0"/>
          <w:iCs w:val="0"/>
          <w:sz w:val="24"/>
          <w:szCs w:val="24"/>
        </w:rPr>
        <w:t xml:space="preserve"> belge font fi de plus de 8.000 décisions prononcées depuis le mois de septembre 2021 par les Cours et Tribunaux du travail d</w:t>
      </w:r>
      <w:r w:rsidR="00803AD0" w:rsidRPr="00773750">
        <w:rPr>
          <w:rStyle w:val="Accentuation"/>
          <w:i w:val="0"/>
          <w:iCs w:val="0"/>
          <w:sz w:val="24"/>
          <w:szCs w:val="24"/>
        </w:rPr>
        <w:t>u Royaume, de plusieurs ordonnances</w:t>
      </w:r>
      <w:r w:rsidR="003C5125" w:rsidRPr="00773750">
        <w:rPr>
          <w:rStyle w:val="Accentuation"/>
          <w:i w:val="0"/>
          <w:iCs w:val="0"/>
          <w:sz w:val="24"/>
          <w:szCs w:val="24"/>
        </w:rPr>
        <w:t xml:space="preserve"> </w:t>
      </w:r>
      <w:r w:rsidR="00803AD0" w:rsidRPr="00773750">
        <w:rPr>
          <w:rStyle w:val="Accentuation"/>
          <w:i w:val="0"/>
          <w:iCs w:val="0"/>
          <w:sz w:val="24"/>
          <w:szCs w:val="24"/>
        </w:rPr>
        <w:t xml:space="preserve">de principe </w:t>
      </w:r>
      <w:r w:rsidR="003C5125" w:rsidRPr="00773750">
        <w:rPr>
          <w:rStyle w:val="Accentuation"/>
          <w:i w:val="0"/>
          <w:iCs w:val="0"/>
          <w:sz w:val="24"/>
          <w:szCs w:val="24"/>
        </w:rPr>
        <w:t>prononcé</w:t>
      </w:r>
      <w:r w:rsidR="00803AD0" w:rsidRPr="00773750">
        <w:rPr>
          <w:rStyle w:val="Accentuation"/>
          <w:i w:val="0"/>
          <w:iCs w:val="0"/>
          <w:sz w:val="24"/>
          <w:szCs w:val="24"/>
        </w:rPr>
        <w:t>e</w:t>
      </w:r>
      <w:r w:rsidR="003C5125" w:rsidRPr="00773750">
        <w:rPr>
          <w:rStyle w:val="Accentuation"/>
          <w:i w:val="0"/>
          <w:iCs w:val="0"/>
          <w:sz w:val="24"/>
          <w:szCs w:val="24"/>
        </w:rPr>
        <w:t xml:space="preserve">s </w:t>
      </w:r>
      <w:r w:rsidR="00803AD0" w:rsidRPr="00773750">
        <w:rPr>
          <w:rStyle w:val="Accentuation"/>
          <w:i w:val="0"/>
          <w:iCs w:val="0"/>
          <w:sz w:val="24"/>
          <w:szCs w:val="24"/>
        </w:rPr>
        <w:t xml:space="preserve">au début de l’année </w:t>
      </w:r>
      <w:r w:rsidR="003C5125" w:rsidRPr="00773750">
        <w:rPr>
          <w:rStyle w:val="Accentuation"/>
          <w:i w:val="0"/>
          <w:iCs w:val="0"/>
          <w:sz w:val="24"/>
          <w:szCs w:val="24"/>
        </w:rPr>
        <w:t xml:space="preserve">2022 par le Tribunal de première instance francophone de Bruxelles et </w:t>
      </w:r>
      <w:r w:rsidR="000449E5" w:rsidRPr="00773750">
        <w:rPr>
          <w:rStyle w:val="Accentuation"/>
          <w:i w:val="0"/>
          <w:iCs w:val="0"/>
          <w:sz w:val="24"/>
          <w:szCs w:val="24"/>
        </w:rPr>
        <w:t xml:space="preserve">de </w:t>
      </w:r>
      <w:r w:rsidR="003C5125" w:rsidRPr="00773750">
        <w:rPr>
          <w:rStyle w:val="Accentuation"/>
          <w:i w:val="0"/>
          <w:iCs w:val="0"/>
          <w:sz w:val="24"/>
          <w:szCs w:val="24"/>
        </w:rPr>
        <w:t xml:space="preserve">près de 1.200 injonctions de mesures provisoires prononcées </w:t>
      </w:r>
      <w:r w:rsidR="000449E5" w:rsidRPr="00773750">
        <w:rPr>
          <w:rStyle w:val="Accentuation"/>
          <w:i w:val="0"/>
          <w:iCs w:val="0"/>
          <w:sz w:val="24"/>
          <w:szCs w:val="24"/>
        </w:rPr>
        <w:t xml:space="preserve">depuis le mois de novembre 2022 </w:t>
      </w:r>
      <w:r w:rsidR="003C5125" w:rsidRPr="00773750">
        <w:rPr>
          <w:rStyle w:val="Accentuation"/>
          <w:i w:val="0"/>
          <w:iCs w:val="0"/>
          <w:sz w:val="24"/>
          <w:szCs w:val="24"/>
        </w:rPr>
        <w:t>par la Cour européenne des droits de l’Homme</w:t>
      </w:r>
      <w:r w:rsidR="00D92691" w:rsidRPr="00773750">
        <w:rPr>
          <w:rStyle w:val="Accentuation"/>
          <w:i w:val="0"/>
          <w:iCs w:val="0"/>
          <w:sz w:val="24"/>
          <w:szCs w:val="24"/>
        </w:rPr>
        <w:t xml:space="preserve"> sur base de l’article 39 de son Règlement</w:t>
      </w:r>
      <w:r w:rsidR="003C5125" w:rsidRPr="00773750">
        <w:rPr>
          <w:rStyle w:val="Accentuation"/>
          <w:i w:val="0"/>
          <w:iCs w:val="0"/>
          <w:sz w:val="24"/>
          <w:szCs w:val="24"/>
        </w:rPr>
        <w:t xml:space="preserve">.  </w:t>
      </w:r>
    </w:p>
    <w:p w:rsidR="003C5125" w:rsidRPr="00773750" w:rsidRDefault="003C5125" w:rsidP="00D92691">
      <w:pPr>
        <w:spacing w:line="240" w:lineRule="auto"/>
        <w:jc w:val="both"/>
        <w:rPr>
          <w:sz w:val="24"/>
          <w:szCs w:val="24"/>
        </w:rPr>
      </w:pPr>
      <w:r w:rsidRPr="00773750">
        <w:rPr>
          <w:sz w:val="24"/>
          <w:szCs w:val="24"/>
        </w:rPr>
        <w:t xml:space="preserve">À l’instar d’autres gouvernements européens, </w:t>
      </w:r>
      <w:r w:rsidR="000449E5" w:rsidRPr="00773750">
        <w:rPr>
          <w:sz w:val="24"/>
          <w:szCs w:val="24"/>
        </w:rPr>
        <w:t xml:space="preserve">force est de constater que </w:t>
      </w:r>
      <w:r w:rsidRPr="00773750">
        <w:rPr>
          <w:sz w:val="24"/>
          <w:szCs w:val="24"/>
        </w:rPr>
        <w:t>l’Etat belge ne se conforme</w:t>
      </w:r>
      <w:r w:rsidR="00362B41" w:rsidRPr="00773750">
        <w:rPr>
          <w:sz w:val="24"/>
          <w:szCs w:val="24"/>
        </w:rPr>
        <w:t xml:space="preserve"> plus</w:t>
      </w:r>
      <w:r w:rsidRPr="00773750">
        <w:rPr>
          <w:sz w:val="24"/>
          <w:szCs w:val="24"/>
        </w:rPr>
        <w:t xml:space="preserve"> à ses obligations européennes en matière d’accueil </w:t>
      </w:r>
      <w:r w:rsidR="009E40AA" w:rsidRPr="00773750">
        <w:rPr>
          <w:sz w:val="24"/>
          <w:szCs w:val="24"/>
        </w:rPr>
        <w:t xml:space="preserve">des demandeurs d’asile </w:t>
      </w:r>
      <w:r w:rsidRPr="00773750">
        <w:rPr>
          <w:sz w:val="24"/>
          <w:szCs w:val="24"/>
        </w:rPr>
        <w:t xml:space="preserve">alors que dans </w:t>
      </w:r>
      <w:r w:rsidRPr="00773750">
        <w:rPr>
          <w:sz w:val="24"/>
          <w:szCs w:val="24"/>
        </w:rPr>
        <w:lastRenderedPageBreak/>
        <w:t xml:space="preserve">l’accord de gouvernement du 30 septembre 2020, ce dernier s’était </w:t>
      </w:r>
      <w:r w:rsidR="000449E5" w:rsidRPr="00773750">
        <w:rPr>
          <w:sz w:val="24"/>
          <w:szCs w:val="24"/>
        </w:rPr>
        <w:t xml:space="preserve">pourtant </w:t>
      </w:r>
      <w:r w:rsidRPr="00773750">
        <w:rPr>
          <w:sz w:val="24"/>
          <w:szCs w:val="24"/>
        </w:rPr>
        <w:t xml:space="preserve">expressément engagé à mener une politique d’asile et de migration respectant les droits </w:t>
      </w:r>
      <w:r w:rsidR="00362B41" w:rsidRPr="00773750">
        <w:rPr>
          <w:sz w:val="24"/>
          <w:szCs w:val="24"/>
        </w:rPr>
        <w:t>humains</w:t>
      </w:r>
      <w:r w:rsidRPr="00773750">
        <w:rPr>
          <w:sz w:val="24"/>
          <w:szCs w:val="24"/>
        </w:rPr>
        <w:t>.</w:t>
      </w:r>
    </w:p>
    <w:p w:rsidR="003C5125" w:rsidRPr="00773750" w:rsidRDefault="003C5125" w:rsidP="00D92691">
      <w:pPr>
        <w:spacing w:line="240" w:lineRule="auto"/>
        <w:jc w:val="both"/>
        <w:rPr>
          <w:sz w:val="24"/>
          <w:szCs w:val="24"/>
        </w:rPr>
      </w:pPr>
      <w:r w:rsidRPr="00773750">
        <w:rPr>
          <w:sz w:val="24"/>
          <w:szCs w:val="24"/>
        </w:rPr>
        <w:t>Ces milliers de décisions nationales et européennes</w:t>
      </w:r>
      <w:r w:rsidR="000449E5" w:rsidRPr="00773750">
        <w:rPr>
          <w:sz w:val="24"/>
          <w:szCs w:val="24"/>
        </w:rPr>
        <w:t>,</w:t>
      </w:r>
      <w:r w:rsidRPr="00773750">
        <w:rPr>
          <w:sz w:val="24"/>
          <w:szCs w:val="24"/>
        </w:rPr>
        <w:t xml:space="preserve"> bien que sanctionnées d’astreintes, n’ont pas entrainé de changement structurel pour répondre aux flux migratoires. Après dix-mois de tergiversations, il ne s’agit plus d’une crise de l’accueil</w:t>
      </w:r>
      <w:r w:rsidR="00955091" w:rsidRPr="00773750">
        <w:rPr>
          <w:rStyle w:val="Appelnotedebasdep"/>
          <w:sz w:val="24"/>
          <w:szCs w:val="24"/>
        </w:rPr>
        <w:footnoteReference w:id="2"/>
      </w:r>
      <w:r w:rsidRPr="00773750">
        <w:rPr>
          <w:sz w:val="24"/>
          <w:szCs w:val="24"/>
        </w:rPr>
        <w:t xml:space="preserve"> mais bien d’une crise </w:t>
      </w:r>
      <w:r w:rsidR="00D92691" w:rsidRPr="00773750">
        <w:rPr>
          <w:sz w:val="24"/>
          <w:szCs w:val="24"/>
        </w:rPr>
        <w:t>politique fragilisant l</w:t>
      </w:r>
      <w:r w:rsidRPr="00773750">
        <w:rPr>
          <w:sz w:val="24"/>
          <w:szCs w:val="24"/>
        </w:rPr>
        <w:t>’Etat de droit</w:t>
      </w:r>
      <w:r w:rsidR="00D92691" w:rsidRPr="00773750">
        <w:rPr>
          <w:sz w:val="24"/>
          <w:szCs w:val="24"/>
        </w:rPr>
        <w:t>.</w:t>
      </w:r>
    </w:p>
    <w:p w:rsidR="00D92691" w:rsidRPr="00773750" w:rsidRDefault="003B2F3E" w:rsidP="00D92691">
      <w:pPr>
        <w:spacing w:line="240" w:lineRule="auto"/>
        <w:jc w:val="both"/>
        <w:rPr>
          <w:rStyle w:val="Accentuation"/>
          <w:i w:val="0"/>
          <w:iCs w:val="0"/>
          <w:sz w:val="24"/>
          <w:szCs w:val="24"/>
        </w:rPr>
      </w:pPr>
      <w:r w:rsidRPr="00773750">
        <w:rPr>
          <w:rStyle w:val="Accentuation"/>
          <w:i w:val="0"/>
          <w:iCs w:val="0"/>
          <w:sz w:val="24"/>
          <w:szCs w:val="24"/>
        </w:rPr>
        <w:t xml:space="preserve">Alors que la crise </w:t>
      </w:r>
      <w:r w:rsidR="00D92691" w:rsidRPr="00773750">
        <w:rPr>
          <w:rStyle w:val="Accentuation"/>
          <w:i w:val="0"/>
          <w:iCs w:val="0"/>
          <w:sz w:val="24"/>
          <w:szCs w:val="24"/>
        </w:rPr>
        <w:t xml:space="preserve">ukrainienne </w:t>
      </w:r>
      <w:r w:rsidRPr="00773750">
        <w:rPr>
          <w:rStyle w:val="Accentuation"/>
          <w:i w:val="0"/>
          <w:iCs w:val="0"/>
          <w:sz w:val="24"/>
          <w:szCs w:val="24"/>
        </w:rPr>
        <w:t xml:space="preserve">s’enlise, que l’État de droit vacille, </w:t>
      </w:r>
      <w:r w:rsidR="005A791B" w:rsidRPr="00773750">
        <w:rPr>
          <w:rStyle w:val="Accentuation"/>
          <w:i w:val="0"/>
          <w:iCs w:val="0"/>
          <w:sz w:val="24"/>
          <w:szCs w:val="24"/>
        </w:rPr>
        <w:t xml:space="preserve">que </w:t>
      </w:r>
      <w:r w:rsidRPr="00773750">
        <w:rPr>
          <w:rStyle w:val="Accentuation"/>
          <w:i w:val="0"/>
          <w:iCs w:val="0"/>
          <w:sz w:val="24"/>
          <w:szCs w:val="24"/>
        </w:rPr>
        <w:t>le monde politique s’enfonce</w:t>
      </w:r>
      <w:r w:rsidR="005A791B" w:rsidRPr="00773750">
        <w:rPr>
          <w:rStyle w:val="Accentuation"/>
          <w:i w:val="0"/>
          <w:iCs w:val="0"/>
          <w:sz w:val="24"/>
          <w:szCs w:val="24"/>
        </w:rPr>
        <w:t xml:space="preserve"> dans le déni </w:t>
      </w:r>
      <w:r w:rsidR="00803AD0" w:rsidRPr="00773750">
        <w:rPr>
          <w:rStyle w:val="Accentuation"/>
          <w:i w:val="0"/>
          <w:iCs w:val="0"/>
          <w:sz w:val="24"/>
          <w:szCs w:val="24"/>
        </w:rPr>
        <w:t>ou</w:t>
      </w:r>
      <w:r w:rsidR="005A791B" w:rsidRPr="00773750">
        <w:rPr>
          <w:rStyle w:val="Accentuation"/>
          <w:i w:val="0"/>
          <w:iCs w:val="0"/>
          <w:sz w:val="24"/>
          <w:szCs w:val="24"/>
        </w:rPr>
        <w:t xml:space="preserve"> l’indifférence, l</w:t>
      </w:r>
      <w:r w:rsidR="00D92691" w:rsidRPr="00773750">
        <w:rPr>
          <w:rStyle w:val="Accentuation"/>
          <w:i w:val="0"/>
          <w:iCs w:val="0"/>
          <w:sz w:val="24"/>
          <w:szCs w:val="24"/>
        </w:rPr>
        <w:t>e salut des demandeurs de protection internationale en quête de dignité humaine</w:t>
      </w:r>
      <w:r w:rsidR="005A791B" w:rsidRPr="00773750">
        <w:rPr>
          <w:rStyle w:val="Accentuation"/>
          <w:i w:val="0"/>
          <w:iCs w:val="0"/>
          <w:sz w:val="24"/>
          <w:szCs w:val="24"/>
        </w:rPr>
        <w:t>,</w:t>
      </w:r>
      <w:r w:rsidR="00D92691" w:rsidRPr="00773750">
        <w:rPr>
          <w:rStyle w:val="Accentuation"/>
          <w:i w:val="0"/>
          <w:iCs w:val="0"/>
          <w:sz w:val="24"/>
          <w:szCs w:val="24"/>
        </w:rPr>
        <w:t xml:space="preserve"> viendra-t-il de la </w:t>
      </w:r>
      <w:r w:rsidRPr="00773750">
        <w:rPr>
          <w:rStyle w:val="Accentuation"/>
          <w:i w:val="0"/>
          <w:iCs w:val="0"/>
          <w:sz w:val="24"/>
          <w:szCs w:val="24"/>
        </w:rPr>
        <w:t>Cour européenne des droits de l’homme</w:t>
      </w:r>
      <w:r w:rsidR="00D92691" w:rsidRPr="00773750">
        <w:rPr>
          <w:rStyle w:val="Accentuation"/>
          <w:i w:val="0"/>
          <w:iCs w:val="0"/>
          <w:sz w:val="24"/>
          <w:szCs w:val="24"/>
        </w:rPr>
        <w:t> ?</w:t>
      </w:r>
    </w:p>
    <w:p w:rsidR="00955091" w:rsidRPr="00773750" w:rsidRDefault="00803AD0" w:rsidP="00955091">
      <w:pPr>
        <w:spacing w:line="240" w:lineRule="auto"/>
        <w:jc w:val="both"/>
        <w:rPr>
          <w:sz w:val="24"/>
          <w:szCs w:val="24"/>
        </w:rPr>
      </w:pPr>
      <w:r w:rsidRPr="00773750">
        <w:rPr>
          <w:sz w:val="24"/>
          <w:szCs w:val="24"/>
        </w:rPr>
        <w:t>Pour répondre à cette interrogation, i</w:t>
      </w:r>
      <w:r w:rsidR="00F62CC7" w:rsidRPr="00773750">
        <w:rPr>
          <w:sz w:val="24"/>
          <w:szCs w:val="24"/>
        </w:rPr>
        <w:t>l est intéressant de rappeler qu’</w:t>
      </w:r>
      <w:r w:rsidR="00D92691" w:rsidRPr="00773750">
        <w:rPr>
          <w:sz w:val="24"/>
          <w:szCs w:val="24"/>
        </w:rPr>
        <w:t xml:space="preserve">en vertu de l’article 39 du Règlement de la Cour européenne des droits de l’homme, des demandes de mesures provisoires peuvent être </w:t>
      </w:r>
      <w:r w:rsidR="005A791B" w:rsidRPr="00773750">
        <w:rPr>
          <w:sz w:val="24"/>
          <w:szCs w:val="24"/>
        </w:rPr>
        <w:t xml:space="preserve">introduites auprès de </w:t>
      </w:r>
      <w:r w:rsidR="00D92691" w:rsidRPr="00773750">
        <w:rPr>
          <w:sz w:val="24"/>
          <w:szCs w:val="24"/>
        </w:rPr>
        <w:t>la C</w:t>
      </w:r>
      <w:r w:rsidR="005A791B" w:rsidRPr="00773750">
        <w:rPr>
          <w:sz w:val="24"/>
          <w:szCs w:val="24"/>
        </w:rPr>
        <w:t xml:space="preserve">our </w:t>
      </w:r>
      <w:r w:rsidR="00D92691" w:rsidRPr="00773750">
        <w:rPr>
          <w:sz w:val="24"/>
          <w:szCs w:val="24"/>
        </w:rPr>
        <w:t>EDH afin qu’il soit enjoint à l’Etat belge d’exécuter les ordonnances et jugements pourtant devenus définitifs. Il s’agit de mesures d’urgence applicables</w:t>
      </w:r>
      <w:r w:rsidR="00C21D22" w:rsidRPr="00773750">
        <w:rPr>
          <w:sz w:val="24"/>
          <w:szCs w:val="24"/>
        </w:rPr>
        <w:t>, durant le temps de la procédure devant la Cour EDH,</w:t>
      </w:r>
      <w:r w:rsidR="00D92691" w:rsidRPr="00773750">
        <w:rPr>
          <w:sz w:val="24"/>
          <w:szCs w:val="24"/>
        </w:rPr>
        <w:t xml:space="preserve"> lorsque les demandeurs de protection internationale sont exposés, en l’absence de telles mesures, à un risque réel de dommage</w:t>
      </w:r>
      <w:r w:rsidR="005A791B" w:rsidRPr="00773750">
        <w:rPr>
          <w:sz w:val="24"/>
          <w:szCs w:val="24"/>
        </w:rPr>
        <w:t xml:space="preserve"> grave, imminent et irréparable, ce qui est, </w:t>
      </w:r>
      <w:r w:rsidR="005A791B" w:rsidRPr="00773750">
        <w:rPr>
          <w:i/>
          <w:sz w:val="24"/>
          <w:szCs w:val="24"/>
        </w:rPr>
        <w:t xml:space="preserve">prima </w:t>
      </w:r>
      <w:proofErr w:type="spellStart"/>
      <w:r w:rsidR="005A791B" w:rsidRPr="00773750">
        <w:rPr>
          <w:i/>
          <w:sz w:val="24"/>
          <w:szCs w:val="24"/>
        </w:rPr>
        <w:t>facie</w:t>
      </w:r>
      <w:proofErr w:type="spellEnd"/>
      <w:r w:rsidR="005A791B" w:rsidRPr="00773750">
        <w:rPr>
          <w:sz w:val="24"/>
          <w:szCs w:val="24"/>
        </w:rPr>
        <w:t xml:space="preserve">, le cas, lorsque des femmes, des hommes, voire des enfants dorment à la rue. </w:t>
      </w:r>
      <w:r w:rsidR="00D92691" w:rsidRPr="00773750">
        <w:rPr>
          <w:sz w:val="24"/>
          <w:szCs w:val="24"/>
        </w:rPr>
        <w:t xml:space="preserve">A suivre les plaidoiries des défenseurs de l’Agence FEDASIL, ces injonctions permettent aux demandeurs de protection internationale de bénéficier </w:t>
      </w:r>
      <w:r w:rsidR="00955091" w:rsidRPr="00773750">
        <w:rPr>
          <w:sz w:val="24"/>
          <w:szCs w:val="24"/>
        </w:rPr>
        <w:t xml:space="preserve">d’une priorité… alors même qu’ils bénéficient déjà d’une décision </w:t>
      </w:r>
      <w:r w:rsidR="005A791B" w:rsidRPr="00773750">
        <w:rPr>
          <w:sz w:val="24"/>
          <w:szCs w:val="24"/>
        </w:rPr>
        <w:t xml:space="preserve">judiciaire </w:t>
      </w:r>
      <w:r w:rsidR="00955091" w:rsidRPr="00773750">
        <w:rPr>
          <w:sz w:val="24"/>
          <w:szCs w:val="24"/>
        </w:rPr>
        <w:t>définitive.</w:t>
      </w:r>
      <w:r w:rsidR="00D92691" w:rsidRPr="00773750">
        <w:rPr>
          <w:sz w:val="24"/>
          <w:szCs w:val="24"/>
        </w:rPr>
        <w:t xml:space="preserve"> </w:t>
      </w:r>
      <w:r w:rsidR="00955091" w:rsidRPr="00773750">
        <w:rPr>
          <w:sz w:val="24"/>
          <w:szCs w:val="24"/>
        </w:rPr>
        <w:t xml:space="preserve">On notera que la Cour EDH rajoute systématiquement que, si l’Etat belge ne se conforme pas à ladite mesure (pourtant) provisoire, cela pourrait constituer une violation de l’article 34 de la Convention européenne des droits de l’homme, qui garantit le droit pour toute victime d’une violation de la Convention européenne des droits de l’homme de pouvoir introduire un recours devant la Cour </w:t>
      </w:r>
      <w:r w:rsidR="008D35C1" w:rsidRPr="00773750">
        <w:rPr>
          <w:sz w:val="24"/>
          <w:szCs w:val="24"/>
        </w:rPr>
        <w:t>EDH</w:t>
      </w:r>
      <w:r w:rsidR="00955091" w:rsidRPr="00773750">
        <w:rPr>
          <w:sz w:val="24"/>
          <w:szCs w:val="24"/>
        </w:rPr>
        <w:t>.</w:t>
      </w:r>
    </w:p>
    <w:p w:rsidR="007A7705" w:rsidRPr="00773750" w:rsidRDefault="00955091" w:rsidP="007A7705">
      <w:pPr>
        <w:spacing w:line="240" w:lineRule="auto"/>
        <w:jc w:val="both"/>
        <w:rPr>
          <w:sz w:val="24"/>
          <w:szCs w:val="24"/>
        </w:rPr>
      </w:pPr>
      <w:r w:rsidRPr="00773750">
        <w:rPr>
          <w:sz w:val="24"/>
          <w:szCs w:val="24"/>
        </w:rPr>
        <w:t xml:space="preserve">On relèvera à cet égard que la France a </w:t>
      </w:r>
      <w:r w:rsidR="005A791B" w:rsidRPr="00773750">
        <w:rPr>
          <w:sz w:val="24"/>
          <w:szCs w:val="24"/>
        </w:rPr>
        <w:t xml:space="preserve">très récemment </w:t>
      </w:r>
      <w:r w:rsidRPr="00773750">
        <w:rPr>
          <w:sz w:val="24"/>
          <w:szCs w:val="24"/>
        </w:rPr>
        <w:t>fait l’objet d’un arrêt de condamnation par la Cour européenne des droits de l’homme</w:t>
      </w:r>
      <w:r w:rsidR="00F62CC7" w:rsidRPr="00773750">
        <w:rPr>
          <w:rStyle w:val="Appelnotedebasdep"/>
          <w:sz w:val="24"/>
          <w:szCs w:val="24"/>
        </w:rPr>
        <w:footnoteReference w:id="3"/>
      </w:r>
      <w:r w:rsidR="005A791B" w:rsidRPr="00773750">
        <w:rPr>
          <w:sz w:val="24"/>
          <w:szCs w:val="24"/>
        </w:rPr>
        <w:t xml:space="preserve"> </w:t>
      </w:r>
      <w:r w:rsidRPr="00773750">
        <w:rPr>
          <w:sz w:val="24"/>
          <w:szCs w:val="24"/>
        </w:rPr>
        <w:t xml:space="preserve">pour des faits similaires à ceux qui concernent les affaires belges. </w:t>
      </w:r>
    </w:p>
    <w:p w:rsidR="007A7705" w:rsidRPr="00773750" w:rsidRDefault="007A7705" w:rsidP="007A7705">
      <w:pPr>
        <w:spacing w:line="240" w:lineRule="auto"/>
        <w:jc w:val="both"/>
        <w:rPr>
          <w:sz w:val="24"/>
          <w:szCs w:val="24"/>
        </w:rPr>
      </w:pPr>
      <w:r w:rsidRPr="00773750">
        <w:rPr>
          <w:sz w:val="24"/>
          <w:szCs w:val="24"/>
        </w:rPr>
        <w:t>Faut-il cependant se réjouir que la Cour EDH se saisisse de cette question alors que dans le même temps la Commission européenne a publié le 13 juillet 2022 son </w:t>
      </w:r>
      <w:r w:rsidR="00362B41" w:rsidRPr="00773750">
        <w:rPr>
          <w:sz w:val="24"/>
          <w:szCs w:val="24"/>
        </w:rPr>
        <w:t xml:space="preserve">dernier </w:t>
      </w:r>
      <w:r w:rsidRPr="00773750">
        <w:rPr>
          <w:rStyle w:val="Accentuation"/>
          <w:i w:val="0"/>
          <w:iCs w:val="0"/>
          <w:sz w:val="24"/>
          <w:szCs w:val="24"/>
        </w:rPr>
        <w:t xml:space="preserve">rapport </w:t>
      </w:r>
      <w:r w:rsidRPr="00773750">
        <w:rPr>
          <w:sz w:val="24"/>
          <w:szCs w:val="24"/>
        </w:rPr>
        <w:t>sur l'</w:t>
      </w:r>
      <w:r w:rsidRPr="00773750">
        <w:rPr>
          <w:rStyle w:val="Accentuation"/>
          <w:i w:val="0"/>
          <w:iCs w:val="0"/>
          <w:sz w:val="24"/>
          <w:szCs w:val="24"/>
        </w:rPr>
        <w:t>Etat de droit</w:t>
      </w:r>
      <w:r w:rsidRPr="00773750">
        <w:rPr>
          <w:sz w:val="24"/>
          <w:szCs w:val="24"/>
        </w:rPr>
        <w:t> dans l'Union européenne</w:t>
      </w:r>
      <w:r w:rsidR="00362B41" w:rsidRPr="00773750">
        <w:rPr>
          <w:sz w:val="24"/>
          <w:szCs w:val="24"/>
        </w:rPr>
        <w:t xml:space="preserve">, lequel ne dit mot sur </w:t>
      </w:r>
      <w:r w:rsidRPr="00773750">
        <w:rPr>
          <w:sz w:val="24"/>
          <w:szCs w:val="24"/>
        </w:rPr>
        <w:t>la politique d’accueil en Belgique.</w:t>
      </w:r>
    </w:p>
    <w:p w:rsidR="00AD77D1" w:rsidRPr="00773750" w:rsidRDefault="007A7705" w:rsidP="00FC5D30">
      <w:pPr>
        <w:spacing w:line="240" w:lineRule="auto"/>
        <w:jc w:val="both"/>
        <w:rPr>
          <w:sz w:val="24"/>
          <w:szCs w:val="24"/>
        </w:rPr>
      </w:pPr>
      <w:r w:rsidRPr="00773750">
        <w:rPr>
          <w:sz w:val="24"/>
          <w:szCs w:val="24"/>
        </w:rPr>
        <w:t>En guise d’espoir, l</w:t>
      </w:r>
      <w:r w:rsidR="006B37C7" w:rsidRPr="00773750">
        <w:rPr>
          <w:sz w:val="24"/>
          <w:szCs w:val="24"/>
        </w:rPr>
        <w:t xml:space="preserve">e 26 janvier </w:t>
      </w:r>
      <w:r w:rsidR="00F62CC7" w:rsidRPr="00773750">
        <w:rPr>
          <w:sz w:val="24"/>
          <w:szCs w:val="24"/>
        </w:rPr>
        <w:t>2023</w:t>
      </w:r>
      <w:r w:rsidR="006B37C7" w:rsidRPr="00773750">
        <w:rPr>
          <w:sz w:val="24"/>
          <w:szCs w:val="24"/>
        </w:rPr>
        <w:t xml:space="preserve">, la Commission européenne a ouvert une procédure formelle d’infraction à </w:t>
      </w:r>
      <w:r w:rsidR="00F62CC7" w:rsidRPr="00773750">
        <w:rPr>
          <w:sz w:val="24"/>
          <w:szCs w:val="24"/>
        </w:rPr>
        <w:t>l’encontre de la Belgique pour « </w:t>
      </w:r>
      <w:r w:rsidR="006B37C7" w:rsidRPr="00773750">
        <w:rPr>
          <w:i/>
          <w:sz w:val="24"/>
          <w:szCs w:val="24"/>
        </w:rPr>
        <w:t>défaut de transposition de toutes les dispositions de la directive accueil</w:t>
      </w:r>
      <w:r w:rsidR="00F62CC7" w:rsidRPr="00773750">
        <w:rPr>
          <w:sz w:val="24"/>
          <w:szCs w:val="24"/>
        </w:rPr>
        <w:t> »</w:t>
      </w:r>
      <w:r w:rsidR="006B37C7" w:rsidRPr="00773750">
        <w:rPr>
          <w:sz w:val="24"/>
          <w:szCs w:val="24"/>
        </w:rPr>
        <w:t>. Cette procédure, si elle est menée à son terme, pourrait aboutir à un arrêt de la C</w:t>
      </w:r>
      <w:r w:rsidRPr="00773750">
        <w:rPr>
          <w:sz w:val="24"/>
          <w:szCs w:val="24"/>
        </w:rPr>
        <w:t xml:space="preserve">our de Justice de l’Union européenne </w:t>
      </w:r>
      <w:r w:rsidR="006B37C7" w:rsidRPr="00773750">
        <w:rPr>
          <w:sz w:val="24"/>
          <w:szCs w:val="24"/>
        </w:rPr>
        <w:t>constatant le manquement de l’Etat belge à ses obligations tirées du droit de l’U</w:t>
      </w:r>
      <w:r w:rsidRPr="00773750">
        <w:rPr>
          <w:sz w:val="24"/>
          <w:szCs w:val="24"/>
        </w:rPr>
        <w:t>nion européenne</w:t>
      </w:r>
      <w:r w:rsidR="006B37C7" w:rsidRPr="00773750">
        <w:rPr>
          <w:sz w:val="24"/>
          <w:szCs w:val="24"/>
        </w:rPr>
        <w:t xml:space="preserve"> (art</w:t>
      </w:r>
      <w:r w:rsidRPr="00773750">
        <w:rPr>
          <w:sz w:val="24"/>
          <w:szCs w:val="24"/>
        </w:rPr>
        <w:t xml:space="preserve">icle </w:t>
      </w:r>
      <w:r w:rsidR="006B37C7" w:rsidRPr="00773750">
        <w:rPr>
          <w:sz w:val="24"/>
          <w:szCs w:val="24"/>
        </w:rPr>
        <w:t xml:space="preserve">258 </w:t>
      </w:r>
      <w:r w:rsidRPr="00773750">
        <w:rPr>
          <w:sz w:val="24"/>
          <w:szCs w:val="24"/>
        </w:rPr>
        <w:t>du Traité sur le fonctionnement de l’Union Européenne).</w:t>
      </w:r>
    </w:p>
    <w:p w:rsidR="00F85FE1" w:rsidRPr="00773750" w:rsidRDefault="00F85FE1" w:rsidP="00FC5D30">
      <w:pPr>
        <w:spacing w:line="240" w:lineRule="auto"/>
        <w:jc w:val="both"/>
        <w:rPr>
          <w:sz w:val="24"/>
          <w:szCs w:val="24"/>
        </w:rPr>
      </w:pPr>
      <w:r w:rsidRPr="00773750">
        <w:rPr>
          <w:sz w:val="24"/>
          <w:szCs w:val="24"/>
        </w:rPr>
        <w:t xml:space="preserve">Si le droit européen peut être une planche de salut pour les demandeurs d’asile, il pourrait </w:t>
      </w:r>
      <w:r w:rsidR="00DF24C7" w:rsidRPr="00773750">
        <w:rPr>
          <w:sz w:val="24"/>
          <w:szCs w:val="24"/>
        </w:rPr>
        <w:t xml:space="preserve">aussi </w:t>
      </w:r>
      <w:r w:rsidRPr="00773750">
        <w:rPr>
          <w:sz w:val="24"/>
          <w:szCs w:val="24"/>
        </w:rPr>
        <w:t xml:space="preserve">être l’aiguillon qui provoquera un sursaut de lucidité pour la Vivaldi. </w:t>
      </w:r>
    </w:p>
    <w:p w:rsidR="007A7705" w:rsidRPr="00773750" w:rsidRDefault="00F85FE1" w:rsidP="00FC5D30">
      <w:pPr>
        <w:spacing w:line="240" w:lineRule="auto"/>
        <w:jc w:val="both"/>
        <w:rPr>
          <w:sz w:val="24"/>
          <w:szCs w:val="24"/>
        </w:rPr>
      </w:pPr>
      <w:r w:rsidRPr="00773750">
        <w:rPr>
          <w:sz w:val="24"/>
          <w:szCs w:val="24"/>
        </w:rPr>
        <w:lastRenderedPageBreak/>
        <w:t>Pour conclure, l</w:t>
      </w:r>
      <w:r w:rsidR="007A7705" w:rsidRPr="00773750">
        <w:rPr>
          <w:sz w:val="24"/>
          <w:szCs w:val="24"/>
        </w:rPr>
        <w:t xml:space="preserve">’ASM rejoint </w:t>
      </w:r>
      <w:r w:rsidR="000D3485" w:rsidRPr="00773750">
        <w:rPr>
          <w:sz w:val="24"/>
          <w:szCs w:val="24"/>
        </w:rPr>
        <w:t>le directeur de la Ligue des Droits Humains</w:t>
      </w:r>
      <w:r w:rsidR="007A7705" w:rsidRPr="00773750">
        <w:rPr>
          <w:sz w:val="24"/>
          <w:szCs w:val="24"/>
        </w:rPr>
        <w:t xml:space="preserve"> lorsqu’il fait observer que </w:t>
      </w:r>
      <w:r w:rsidR="000D3485" w:rsidRPr="00773750">
        <w:rPr>
          <w:sz w:val="24"/>
          <w:szCs w:val="24"/>
        </w:rPr>
        <w:t>« </w:t>
      </w:r>
      <w:r w:rsidR="000D3485" w:rsidRPr="00773750">
        <w:rPr>
          <w:i/>
          <w:sz w:val="24"/>
          <w:szCs w:val="24"/>
        </w:rPr>
        <w:t>si le pouvoir exécutif ne daigne plus respecter les injonctions du pouvoir judiciaire, c’est tout le fragile équilibre des pouvoirs qui s’en trouve affecté</w:t>
      </w:r>
      <w:r w:rsidR="000D3485" w:rsidRPr="00773750">
        <w:rPr>
          <w:sz w:val="24"/>
          <w:szCs w:val="24"/>
        </w:rPr>
        <w:t> ». </w:t>
      </w:r>
    </w:p>
    <w:p w:rsidR="00F85FE1" w:rsidRPr="00773750" w:rsidRDefault="00D67B43" w:rsidP="00FC5D30">
      <w:pPr>
        <w:spacing w:line="240" w:lineRule="auto"/>
        <w:jc w:val="both"/>
        <w:rPr>
          <w:sz w:val="24"/>
          <w:szCs w:val="24"/>
        </w:rPr>
      </w:pPr>
      <w:r>
        <w:rPr>
          <w:sz w:val="24"/>
          <w:szCs w:val="24"/>
        </w:rPr>
        <w:t xml:space="preserve">L’Etat de droit doit être respecté plus qu’à l’ordinaire en temps de crise. </w:t>
      </w:r>
      <w:r w:rsidR="000D3485" w:rsidRPr="00773750">
        <w:rPr>
          <w:sz w:val="24"/>
          <w:szCs w:val="24"/>
        </w:rPr>
        <w:t xml:space="preserve">En </w:t>
      </w:r>
      <w:r w:rsidR="00362B41" w:rsidRPr="00773750">
        <w:rPr>
          <w:sz w:val="24"/>
          <w:szCs w:val="24"/>
        </w:rPr>
        <w:t xml:space="preserve">n’exécutant pas </w:t>
      </w:r>
      <w:r w:rsidR="000D3485" w:rsidRPr="00773750">
        <w:rPr>
          <w:sz w:val="24"/>
          <w:szCs w:val="24"/>
        </w:rPr>
        <w:t>un très grand nombre de décisions de justice, l</w:t>
      </w:r>
      <w:r w:rsidR="00F85FE1" w:rsidRPr="00773750">
        <w:rPr>
          <w:sz w:val="24"/>
          <w:szCs w:val="24"/>
        </w:rPr>
        <w:t>e pouvoir e</w:t>
      </w:r>
      <w:r w:rsidR="007A7705" w:rsidRPr="00773750">
        <w:rPr>
          <w:sz w:val="24"/>
          <w:szCs w:val="24"/>
        </w:rPr>
        <w:t xml:space="preserve">xécutif </w:t>
      </w:r>
      <w:r w:rsidR="00362B41" w:rsidRPr="00773750">
        <w:rPr>
          <w:sz w:val="24"/>
          <w:szCs w:val="24"/>
        </w:rPr>
        <w:t xml:space="preserve">déstabilise, depuis dix-huit mois, </w:t>
      </w:r>
      <w:r w:rsidR="000D3485" w:rsidRPr="00773750">
        <w:rPr>
          <w:sz w:val="24"/>
          <w:szCs w:val="24"/>
        </w:rPr>
        <w:t>les fondations de notre démocratie.</w:t>
      </w:r>
      <w:r w:rsidR="00F85FE1" w:rsidRPr="00773750">
        <w:rPr>
          <w:sz w:val="24"/>
          <w:szCs w:val="24"/>
        </w:rPr>
        <w:t xml:space="preserve"> Face à ce </w:t>
      </w:r>
      <w:r w:rsidR="00A569FB" w:rsidRPr="00773750">
        <w:rPr>
          <w:sz w:val="24"/>
          <w:szCs w:val="24"/>
        </w:rPr>
        <w:t>constat</w:t>
      </w:r>
      <w:r w:rsidR="00362B41" w:rsidRPr="00773750">
        <w:rPr>
          <w:sz w:val="24"/>
          <w:szCs w:val="24"/>
        </w:rPr>
        <w:t xml:space="preserve"> alarmant</w:t>
      </w:r>
      <w:r w:rsidR="00A569FB" w:rsidRPr="00773750">
        <w:rPr>
          <w:sz w:val="24"/>
          <w:szCs w:val="24"/>
        </w:rPr>
        <w:t>, il n’y a qu’une conclusion que l’ASM dénonce :</w:t>
      </w:r>
      <w:r w:rsidR="00F85FE1" w:rsidRPr="00773750">
        <w:rPr>
          <w:sz w:val="24"/>
          <w:szCs w:val="24"/>
        </w:rPr>
        <w:t xml:space="preserve"> </w:t>
      </w:r>
      <w:r w:rsidR="00A569FB" w:rsidRPr="00773750">
        <w:rPr>
          <w:sz w:val="24"/>
          <w:szCs w:val="24"/>
        </w:rPr>
        <w:t>l’Etat de droit </w:t>
      </w:r>
      <w:r w:rsidR="00F85FE1" w:rsidRPr="00773750">
        <w:rPr>
          <w:sz w:val="24"/>
          <w:szCs w:val="24"/>
        </w:rPr>
        <w:t>est en crise !</w:t>
      </w:r>
    </w:p>
    <w:p w:rsidR="000D3485" w:rsidRPr="00773750" w:rsidRDefault="00793C32" w:rsidP="00FC5D30">
      <w:pPr>
        <w:spacing w:line="240" w:lineRule="auto"/>
        <w:jc w:val="both"/>
        <w:rPr>
          <w:sz w:val="24"/>
          <w:szCs w:val="24"/>
        </w:rPr>
      </w:pPr>
      <w:r w:rsidRPr="00773750">
        <w:rPr>
          <w:sz w:val="24"/>
          <w:szCs w:val="24"/>
        </w:rPr>
        <w:t xml:space="preserve">En tant que gardiens de l’Etat de droit, tous les </w:t>
      </w:r>
      <w:r w:rsidR="00C21D22" w:rsidRPr="00773750">
        <w:rPr>
          <w:sz w:val="24"/>
          <w:szCs w:val="24"/>
        </w:rPr>
        <w:t>magistrats du pays</w:t>
      </w:r>
      <w:r w:rsidRPr="00773750">
        <w:rPr>
          <w:sz w:val="24"/>
          <w:szCs w:val="24"/>
        </w:rPr>
        <w:t xml:space="preserve">, </w:t>
      </w:r>
      <w:r w:rsidR="00C21D22" w:rsidRPr="00773750">
        <w:rPr>
          <w:sz w:val="24"/>
          <w:szCs w:val="24"/>
        </w:rPr>
        <w:t xml:space="preserve">les </w:t>
      </w:r>
      <w:r w:rsidRPr="00773750">
        <w:rPr>
          <w:sz w:val="24"/>
          <w:szCs w:val="24"/>
        </w:rPr>
        <w:t>membres de l’Ordre judiciaire et</w:t>
      </w:r>
      <w:r w:rsidR="00C21D22" w:rsidRPr="00773750">
        <w:rPr>
          <w:sz w:val="24"/>
          <w:szCs w:val="24"/>
        </w:rPr>
        <w:t xml:space="preserve"> les </w:t>
      </w:r>
      <w:r w:rsidRPr="00773750">
        <w:rPr>
          <w:sz w:val="24"/>
          <w:szCs w:val="24"/>
        </w:rPr>
        <w:t xml:space="preserve"> avocats s’associeront le 20 mars 2023 pour </w:t>
      </w:r>
      <w:r w:rsidR="008D35C1" w:rsidRPr="00773750">
        <w:rPr>
          <w:sz w:val="24"/>
          <w:szCs w:val="24"/>
        </w:rPr>
        <w:t>réaffirmer</w:t>
      </w:r>
      <w:r w:rsidRPr="00773750">
        <w:rPr>
          <w:sz w:val="24"/>
          <w:szCs w:val="24"/>
        </w:rPr>
        <w:t xml:space="preserve"> à l’unisson : « </w:t>
      </w:r>
      <w:r w:rsidRPr="00773750">
        <w:rPr>
          <w:i/>
          <w:sz w:val="24"/>
          <w:szCs w:val="24"/>
        </w:rPr>
        <w:t>l’Etat de droit, j’y crois !</w:t>
      </w:r>
      <w:r w:rsidRPr="00773750">
        <w:rPr>
          <w:sz w:val="24"/>
          <w:szCs w:val="24"/>
        </w:rPr>
        <w:t> ».</w:t>
      </w:r>
    </w:p>
    <w:sectPr w:rsidR="000D3485" w:rsidRPr="00773750" w:rsidSect="00F85FE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FF" w:rsidRDefault="00C215FF" w:rsidP="00955091">
      <w:pPr>
        <w:spacing w:after="0" w:line="240" w:lineRule="auto"/>
      </w:pPr>
      <w:r>
        <w:separator/>
      </w:r>
    </w:p>
  </w:endnote>
  <w:endnote w:type="continuationSeparator" w:id="0">
    <w:p w:rsidR="00C215FF" w:rsidRDefault="00C215FF" w:rsidP="0095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FF" w:rsidRDefault="00C215FF" w:rsidP="00955091">
      <w:pPr>
        <w:spacing w:after="0" w:line="240" w:lineRule="auto"/>
      </w:pPr>
      <w:r>
        <w:separator/>
      </w:r>
    </w:p>
  </w:footnote>
  <w:footnote w:type="continuationSeparator" w:id="0">
    <w:p w:rsidR="00C215FF" w:rsidRDefault="00C215FF" w:rsidP="00955091">
      <w:pPr>
        <w:spacing w:after="0" w:line="240" w:lineRule="auto"/>
      </w:pPr>
      <w:r>
        <w:continuationSeparator/>
      </w:r>
    </w:p>
  </w:footnote>
  <w:footnote w:id="1">
    <w:p w:rsidR="008D35C1" w:rsidRDefault="008D35C1">
      <w:pPr>
        <w:pStyle w:val="Notedebasdepage"/>
      </w:pPr>
      <w:r>
        <w:rPr>
          <w:rStyle w:val="Appelnotedebasdep"/>
        </w:rPr>
        <w:footnoteRef/>
      </w:r>
      <w:r>
        <w:t xml:space="preserve"> www.venice.coe.int</w:t>
      </w:r>
    </w:p>
  </w:footnote>
  <w:footnote w:id="2">
    <w:p w:rsidR="00955091" w:rsidRPr="00F85FE1" w:rsidRDefault="00955091" w:rsidP="00D67B43">
      <w:pPr>
        <w:spacing w:line="240" w:lineRule="auto"/>
        <w:jc w:val="both"/>
        <w:rPr>
          <w:sz w:val="20"/>
          <w:szCs w:val="20"/>
        </w:rPr>
      </w:pPr>
      <w:r>
        <w:rPr>
          <w:rStyle w:val="Appelnotedebasdep"/>
        </w:rPr>
        <w:footnoteRef/>
      </w:r>
      <w:r>
        <w:t xml:space="preserve"> </w:t>
      </w:r>
      <w:r w:rsidR="00F62CC7" w:rsidRPr="00F62CC7">
        <w:rPr>
          <w:sz w:val="20"/>
          <w:szCs w:val="20"/>
        </w:rPr>
        <w:t>Nous renvoyons aux arrêts de la CEDH « </w:t>
      </w:r>
      <w:r w:rsidRPr="00F62CC7">
        <w:rPr>
          <w:sz w:val="20"/>
          <w:szCs w:val="20"/>
        </w:rPr>
        <w:t xml:space="preserve">M.S.S. c. </w:t>
      </w:r>
      <w:r w:rsidR="00F62CC7" w:rsidRPr="00F62CC7">
        <w:rPr>
          <w:sz w:val="20"/>
          <w:szCs w:val="20"/>
        </w:rPr>
        <w:t> Belgique et Grèce » (21 janvier 2011)</w:t>
      </w:r>
      <w:r w:rsidRPr="00F62CC7">
        <w:rPr>
          <w:sz w:val="20"/>
          <w:szCs w:val="20"/>
        </w:rPr>
        <w:t>, et </w:t>
      </w:r>
      <w:r w:rsidR="00F62CC7" w:rsidRPr="00F62CC7">
        <w:rPr>
          <w:sz w:val="20"/>
          <w:szCs w:val="20"/>
        </w:rPr>
        <w:t>« </w:t>
      </w:r>
      <w:proofErr w:type="spellStart"/>
      <w:r w:rsidRPr="00F62CC7">
        <w:rPr>
          <w:sz w:val="20"/>
          <w:szCs w:val="20"/>
        </w:rPr>
        <w:fldChar w:fldCharType="begin"/>
      </w:r>
      <w:r w:rsidRPr="00F62CC7">
        <w:rPr>
          <w:sz w:val="20"/>
          <w:szCs w:val="20"/>
        </w:rPr>
        <w:instrText xml:space="preserve"> HYPERLINK "https://hudoc.echr.coe.int/fre" \l "{%22languageisocode%22:[%22FRE%22],%22appno%22:[%2216483/12%22],%22documentcollectionid2%22:[%22GRANDCHAMBER%22],%22itemid%22:[%22001-169948%22]}" \t "_blank" </w:instrText>
      </w:r>
      <w:r w:rsidRPr="00F62CC7">
        <w:rPr>
          <w:sz w:val="20"/>
          <w:szCs w:val="20"/>
        </w:rPr>
        <w:fldChar w:fldCharType="separate"/>
      </w:r>
      <w:r w:rsidRPr="00F62CC7">
        <w:rPr>
          <w:rStyle w:val="Lienhypertexte"/>
          <w:color w:val="auto"/>
          <w:sz w:val="20"/>
          <w:szCs w:val="20"/>
          <w:u w:val="none"/>
        </w:rPr>
        <w:t>Khlaifia</w:t>
      </w:r>
      <w:proofErr w:type="spellEnd"/>
      <w:r w:rsidRPr="00F62CC7">
        <w:rPr>
          <w:rStyle w:val="Lienhypertexte"/>
          <w:color w:val="auto"/>
          <w:sz w:val="20"/>
          <w:szCs w:val="20"/>
          <w:u w:val="none"/>
        </w:rPr>
        <w:t xml:space="preserve"> et autres c. Italie</w:t>
      </w:r>
      <w:r w:rsidRPr="00F62CC7">
        <w:rPr>
          <w:sz w:val="20"/>
          <w:szCs w:val="20"/>
        </w:rPr>
        <w:fldChar w:fldCharType="end"/>
      </w:r>
      <w:r w:rsidR="00F62CC7" w:rsidRPr="00F62CC7">
        <w:rPr>
          <w:sz w:val="20"/>
          <w:szCs w:val="20"/>
        </w:rPr>
        <w:t> » (1</w:t>
      </w:r>
      <w:r w:rsidR="00F62CC7" w:rsidRPr="00F62CC7">
        <w:rPr>
          <w:sz w:val="20"/>
          <w:szCs w:val="20"/>
          <w:vertAlign w:val="superscript"/>
        </w:rPr>
        <w:t>er</w:t>
      </w:r>
      <w:r w:rsidR="00F62CC7" w:rsidRPr="00F62CC7">
        <w:rPr>
          <w:sz w:val="20"/>
          <w:szCs w:val="20"/>
        </w:rPr>
        <w:t xml:space="preserve"> septembre 2015)</w:t>
      </w:r>
      <w:r w:rsidR="00F62CC7">
        <w:rPr>
          <w:sz w:val="20"/>
          <w:szCs w:val="20"/>
        </w:rPr>
        <w:t> :</w:t>
      </w:r>
      <w:r w:rsidRPr="00F62CC7">
        <w:rPr>
          <w:sz w:val="20"/>
          <w:szCs w:val="20"/>
        </w:rPr>
        <w:t xml:space="preserve"> « </w:t>
      </w:r>
      <w:r w:rsidRPr="00F62CC7">
        <w:rPr>
          <w:i/>
          <w:sz w:val="20"/>
          <w:szCs w:val="20"/>
        </w:rPr>
        <w:t xml:space="preserve">les facteurs liés à un afflux croissant de migrants ne peuvent pas exonérer les États contractants de leurs obligations au regard de </w:t>
      </w:r>
      <w:r w:rsidR="00F62CC7" w:rsidRPr="00F62CC7">
        <w:rPr>
          <w:i/>
          <w:sz w:val="20"/>
          <w:szCs w:val="20"/>
        </w:rPr>
        <w:t>l’article 3 de la CEDH</w:t>
      </w:r>
      <w:r w:rsidRPr="00F62CC7">
        <w:rPr>
          <w:sz w:val="20"/>
          <w:szCs w:val="20"/>
        </w:rPr>
        <w:t xml:space="preserve">». Et d’ajouter, que « </w:t>
      </w:r>
      <w:r w:rsidRPr="00F62CC7">
        <w:rPr>
          <w:i/>
          <w:sz w:val="20"/>
          <w:szCs w:val="20"/>
        </w:rPr>
        <w:t>même un traitement infligé sans l’intention d’humilier ou de rabaisser la victime, et résultant, par exemple, de difficultés objectives liées à la gestion d’une crise migratoire, peut être constitutif d’une violation de l’article 3 de la Convention</w:t>
      </w:r>
      <w:r w:rsidRPr="00F62CC7">
        <w:rPr>
          <w:sz w:val="20"/>
          <w:szCs w:val="20"/>
        </w:rPr>
        <w:t xml:space="preserve"> ».</w:t>
      </w:r>
    </w:p>
  </w:footnote>
  <w:footnote w:id="3">
    <w:p w:rsidR="00F62CC7" w:rsidRPr="00F62CC7" w:rsidRDefault="00F62CC7" w:rsidP="00D67B43">
      <w:pPr>
        <w:pStyle w:val="Notedebasdepage"/>
      </w:pPr>
      <w:r>
        <w:rPr>
          <w:rStyle w:val="Appelnotedebasdep"/>
        </w:rPr>
        <w:footnoteRef/>
      </w:r>
      <w:r>
        <w:t xml:space="preserve"> </w:t>
      </w:r>
      <w:r w:rsidR="00F85FE1" w:rsidRPr="00F62CC7">
        <w:t>Arrêt</w:t>
      </w:r>
      <w:r w:rsidRPr="00F62CC7">
        <w:t xml:space="preserve"> CEDH du 8 décembre 2022, </w:t>
      </w:r>
      <w:hyperlink r:id="rId1" w:tgtFrame="_blank" w:history="1">
        <w:r w:rsidRPr="00F62CC7">
          <w:rPr>
            <w:rStyle w:val="Lienhypertexte"/>
            <w:color w:val="auto"/>
            <w:u w:val="none"/>
          </w:rPr>
          <w:t>M.K. et autres c. France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23C"/>
    <w:multiLevelType w:val="hybridMultilevel"/>
    <w:tmpl w:val="349820BA"/>
    <w:lvl w:ilvl="0" w:tplc="4C281D8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3900BF"/>
    <w:multiLevelType w:val="hybridMultilevel"/>
    <w:tmpl w:val="711CB570"/>
    <w:lvl w:ilvl="0" w:tplc="D22A53A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BE02B3"/>
    <w:multiLevelType w:val="hybridMultilevel"/>
    <w:tmpl w:val="1270D75C"/>
    <w:lvl w:ilvl="0" w:tplc="4F6A2CA4">
      <w:start w:val="1"/>
      <w:numFmt w:val="low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49"/>
    <w:rsid w:val="000449E5"/>
    <w:rsid w:val="000D3485"/>
    <w:rsid w:val="002253ED"/>
    <w:rsid w:val="00362B41"/>
    <w:rsid w:val="003B2F3E"/>
    <w:rsid w:val="003C5125"/>
    <w:rsid w:val="003F2796"/>
    <w:rsid w:val="005A791B"/>
    <w:rsid w:val="00610AC3"/>
    <w:rsid w:val="006B37C7"/>
    <w:rsid w:val="00773750"/>
    <w:rsid w:val="00793C32"/>
    <w:rsid w:val="007A7705"/>
    <w:rsid w:val="00803AD0"/>
    <w:rsid w:val="008D35C1"/>
    <w:rsid w:val="00955091"/>
    <w:rsid w:val="00955C4A"/>
    <w:rsid w:val="0097055C"/>
    <w:rsid w:val="00977212"/>
    <w:rsid w:val="009E40AA"/>
    <w:rsid w:val="00A569FB"/>
    <w:rsid w:val="00A84589"/>
    <w:rsid w:val="00AD77D1"/>
    <w:rsid w:val="00B12874"/>
    <w:rsid w:val="00C215FF"/>
    <w:rsid w:val="00C21D22"/>
    <w:rsid w:val="00C273C2"/>
    <w:rsid w:val="00C30B0A"/>
    <w:rsid w:val="00D15449"/>
    <w:rsid w:val="00D61C64"/>
    <w:rsid w:val="00D67B43"/>
    <w:rsid w:val="00D92691"/>
    <w:rsid w:val="00DF24C7"/>
    <w:rsid w:val="00E37806"/>
    <w:rsid w:val="00F62CC7"/>
    <w:rsid w:val="00F85FE1"/>
    <w:rsid w:val="00FC5D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59C9A-7329-4475-8921-363B5A13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37C7"/>
    <w:rPr>
      <w:color w:val="0000FF"/>
      <w:u w:val="single"/>
    </w:rPr>
  </w:style>
  <w:style w:type="character" w:styleId="Accentuation">
    <w:name w:val="Emphasis"/>
    <w:basedOn w:val="Policepardfaut"/>
    <w:uiPriority w:val="20"/>
    <w:qFormat/>
    <w:rsid w:val="003B2F3E"/>
    <w:rPr>
      <w:i/>
      <w:iCs/>
    </w:rPr>
  </w:style>
  <w:style w:type="paragraph" w:styleId="Paragraphedeliste">
    <w:name w:val="List Paragraph"/>
    <w:basedOn w:val="Normal"/>
    <w:uiPriority w:val="34"/>
    <w:qFormat/>
    <w:rsid w:val="00FC5D30"/>
    <w:pPr>
      <w:ind w:left="720"/>
      <w:contextualSpacing/>
    </w:pPr>
  </w:style>
  <w:style w:type="paragraph" w:styleId="Notedebasdepage">
    <w:name w:val="footnote text"/>
    <w:basedOn w:val="Normal"/>
    <w:link w:val="NotedebasdepageCar"/>
    <w:uiPriority w:val="99"/>
    <w:semiHidden/>
    <w:unhideWhenUsed/>
    <w:rsid w:val="009550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5091"/>
    <w:rPr>
      <w:sz w:val="20"/>
      <w:szCs w:val="20"/>
    </w:rPr>
  </w:style>
  <w:style w:type="character" w:styleId="Appelnotedebasdep">
    <w:name w:val="footnote reference"/>
    <w:basedOn w:val="Policepardfaut"/>
    <w:uiPriority w:val="99"/>
    <w:semiHidden/>
    <w:unhideWhenUsed/>
    <w:rsid w:val="00955091"/>
    <w:rPr>
      <w:vertAlign w:val="superscript"/>
    </w:rPr>
  </w:style>
  <w:style w:type="paragraph" w:styleId="Textedebulles">
    <w:name w:val="Balloon Text"/>
    <w:basedOn w:val="Normal"/>
    <w:link w:val="TextedebullesCar"/>
    <w:uiPriority w:val="99"/>
    <w:semiHidden/>
    <w:unhideWhenUsed/>
    <w:rsid w:val="00362B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ly/3jnE3h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8B9E-AE0F-4AE8-BF96-F0CFD4F3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User</cp:lastModifiedBy>
  <cp:revision>2</cp:revision>
  <cp:lastPrinted>2023-02-05T20:55:00Z</cp:lastPrinted>
  <dcterms:created xsi:type="dcterms:W3CDTF">2023-03-17T10:03:00Z</dcterms:created>
  <dcterms:modified xsi:type="dcterms:W3CDTF">2023-03-17T10:03:00Z</dcterms:modified>
</cp:coreProperties>
</file>